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379B" w14:textId="77777777" w:rsidR="00C32A41" w:rsidRDefault="00B721B3">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602DE51D" wp14:editId="5BBB749B">
                <wp:simplePos x="0" y="0"/>
                <wp:positionH relativeFrom="column">
                  <wp:posOffset>4777105</wp:posOffset>
                </wp:positionH>
                <wp:positionV relativeFrom="paragraph">
                  <wp:posOffset>90805</wp:posOffset>
                </wp:positionV>
                <wp:extent cx="846455" cy="540689"/>
                <wp:effectExtent l="0" t="0" r="10795" b="12065"/>
                <wp:wrapNone/>
                <wp:docPr id="4" name="Prostokąt 4"/>
                <wp:cNvGraphicFramePr/>
                <a:graphic xmlns:a="http://schemas.openxmlformats.org/drawingml/2006/main">
                  <a:graphicData uri="http://schemas.microsoft.com/office/word/2010/wordprocessingShape">
                    <wps:wsp>
                      <wps:cNvSpPr/>
                      <wps:spPr>
                        <a:xfrm>
                          <a:off x="0" y="0"/>
                          <a:ext cx="846455"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2351AB" w14:textId="7FEE77DB"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2DE51D" id="Prostokąt 4" o:spid="_x0000_s1026" style="position:absolute;left:0;text-align:left;margin-left:376.15pt;margin-top:7.15pt;width:66.65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" fillcolor="white [3201]" strokecolor="black [3213]" strokeweight=".25pt">
                <v:textbox>
                  <w:txbxContent>
                    <w:p w14:paraId="542351AB" w14:textId="7FEE77DB" w:rsidR="00C32A41" w:rsidRDefault="007C5419">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w:t>
                      </w:r>
                    </w:p>
                  </w:txbxContent>
                </v:textbox>
              </v:rect>
            </w:pict>
          </mc:Fallback>
        </mc:AlternateContent>
      </w:r>
    </w:p>
    <w:p w14:paraId="43B0EFFA" w14:textId="77777777" w:rsidR="00C32A41" w:rsidRDefault="00C32A41">
      <w:pPr>
        <w:spacing w:before="120" w:after="120" w:line="276" w:lineRule="auto"/>
        <w:contextualSpacing/>
        <w:jc w:val="center"/>
        <w:rPr>
          <w:rFonts w:ascii="Arial" w:hAnsi="Arial"/>
          <w:b/>
          <w:lang w:eastAsia="ar-SA"/>
        </w:rPr>
      </w:pPr>
    </w:p>
    <w:p w14:paraId="75F32C46" w14:textId="77777777" w:rsidR="00C32A41" w:rsidRDefault="00C32A41">
      <w:pPr>
        <w:tabs>
          <w:tab w:val="right" w:pos="9072"/>
        </w:tabs>
        <w:jc w:val="center"/>
        <w:rPr>
          <w:rFonts w:ascii="Arial" w:hAnsi="Arial"/>
          <w:b/>
          <w:sz w:val="18"/>
          <w:szCs w:val="18"/>
        </w:rPr>
      </w:pPr>
    </w:p>
    <w:p w14:paraId="0CF66D33" w14:textId="77777777" w:rsidR="00C32A41" w:rsidRDefault="00C32A41">
      <w:pPr>
        <w:tabs>
          <w:tab w:val="right" w:pos="9072"/>
        </w:tabs>
        <w:jc w:val="center"/>
        <w:rPr>
          <w:rFonts w:ascii="Arial" w:hAnsi="Arial"/>
          <w:b/>
          <w:sz w:val="18"/>
          <w:szCs w:val="18"/>
        </w:rPr>
      </w:pPr>
    </w:p>
    <w:p w14:paraId="64C7E311" w14:textId="77777777" w:rsidR="00C32A41" w:rsidRDefault="00C32A41">
      <w:pPr>
        <w:tabs>
          <w:tab w:val="right" w:pos="9072"/>
        </w:tabs>
        <w:jc w:val="center"/>
        <w:rPr>
          <w:rFonts w:ascii="Arial" w:hAnsi="Arial"/>
          <w:b/>
          <w:sz w:val="18"/>
          <w:szCs w:val="18"/>
        </w:rPr>
      </w:pPr>
    </w:p>
    <w:p w14:paraId="635EDD17" w14:textId="77777777" w:rsidR="00C32A41" w:rsidRDefault="00C32A41">
      <w:pPr>
        <w:spacing w:before="120" w:after="120" w:line="276" w:lineRule="auto"/>
        <w:contextualSpacing/>
        <w:jc w:val="center"/>
        <w:rPr>
          <w:rFonts w:ascii="Arial" w:eastAsia="Arial Unicode MS" w:hAnsi="Arial"/>
          <w:lang w:val="pl" w:eastAsia="ar-SA"/>
        </w:rPr>
      </w:pPr>
    </w:p>
    <w:p w14:paraId="495493FF" w14:textId="77777777" w:rsidR="00C32A41" w:rsidRDefault="00C32A41">
      <w:pPr>
        <w:spacing w:before="120" w:after="120" w:line="276" w:lineRule="auto"/>
        <w:contextualSpacing/>
        <w:jc w:val="center"/>
        <w:rPr>
          <w:rFonts w:ascii="Arial" w:eastAsia="Arial Unicode MS" w:hAnsi="Arial"/>
          <w:lang w:val="pl" w:eastAsia="ar-SA"/>
        </w:rPr>
      </w:pPr>
    </w:p>
    <w:p w14:paraId="4CBE72E8" w14:textId="77777777" w:rsidR="00C32A41" w:rsidRDefault="00C32A41">
      <w:pPr>
        <w:spacing w:before="120" w:after="120" w:line="276" w:lineRule="auto"/>
        <w:contextualSpacing/>
        <w:jc w:val="center"/>
        <w:rPr>
          <w:rFonts w:ascii="Arial" w:eastAsia="Arial Unicode MS" w:hAnsi="Arial"/>
          <w:lang w:val="pl" w:eastAsia="ar-SA"/>
        </w:rPr>
      </w:pPr>
    </w:p>
    <w:p w14:paraId="414AFCE2" w14:textId="77777777" w:rsidR="00C32A41" w:rsidRDefault="00C32A41">
      <w:pPr>
        <w:spacing w:before="120" w:after="120" w:line="276" w:lineRule="auto"/>
        <w:contextualSpacing/>
        <w:jc w:val="center"/>
        <w:rPr>
          <w:rFonts w:ascii="Arial" w:eastAsia="Arial Unicode MS" w:hAnsi="Arial"/>
          <w:lang w:val="pl" w:eastAsia="ar-SA"/>
        </w:rPr>
      </w:pPr>
    </w:p>
    <w:p w14:paraId="74D43254" w14:textId="77777777" w:rsidR="00C32A41" w:rsidRDefault="00C32A41">
      <w:pPr>
        <w:spacing w:before="120" w:after="120" w:line="276" w:lineRule="auto"/>
        <w:contextualSpacing/>
        <w:jc w:val="center"/>
        <w:rPr>
          <w:rFonts w:ascii="Arial" w:eastAsia="Arial Unicode MS" w:hAnsi="Arial"/>
          <w:lang w:val="pl" w:eastAsia="ar-SA"/>
        </w:rPr>
      </w:pPr>
    </w:p>
    <w:p w14:paraId="0B9BC49E" w14:textId="77777777" w:rsidR="00C32A41" w:rsidRDefault="00C32A41">
      <w:pPr>
        <w:spacing w:before="120" w:after="120" w:line="276" w:lineRule="auto"/>
        <w:contextualSpacing/>
        <w:jc w:val="center"/>
        <w:rPr>
          <w:rFonts w:ascii="Arial" w:eastAsia="Arial Unicode MS" w:hAnsi="Arial"/>
          <w:lang w:val="pl" w:eastAsia="ar-SA"/>
        </w:rPr>
      </w:pPr>
    </w:p>
    <w:p w14:paraId="71D29DDD" w14:textId="77777777" w:rsidR="00C32A41" w:rsidRDefault="00B721B3">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37FF1787" w14:textId="77777777" w:rsidR="00C32A41" w:rsidRDefault="00C32A41">
      <w:pPr>
        <w:spacing w:before="120" w:after="120" w:line="276" w:lineRule="auto"/>
        <w:contextualSpacing/>
        <w:jc w:val="center"/>
        <w:rPr>
          <w:rFonts w:ascii="Arial" w:eastAsia="Arial Unicode MS" w:hAnsi="Arial"/>
          <w:lang w:val="pl" w:eastAsia="ar-SA"/>
        </w:rPr>
      </w:pPr>
    </w:p>
    <w:p w14:paraId="503673C7" w14:textId="77777777" w:rsidR="00C32A41" w:rsidRDefault="00C32A41">
      <w:pPr>
        <w:spacing w:before="120" w:after="120" w:line="276" w:lineRule="auto"/>
        <w:contextualSpacing/>
        <w:jc w:val="center"/>
        <w:rPr>
          <w:rFonts w:ascii="Arial" w:eastAsia="Arial Unicode MS" w:hAnsi="Arial" w:cs="Arial"/>
          <w:lang w:val="pl" w:eastAsia="ar-SA"/>
        </w:rPr>
      </w:pPr>
    </w:p>
    <w:p w14:paraId="54047C0C" w14:textId="77777777" w:rsidR="00C32A41" w:rsidRDefault="00C32A41">
      <w:pPr>
        <w:spacing w:before="120" w:after="120" w:line="276" w:lineRule="auto"/>
        <w:contextualSpacing/>
        <w:jc w:val="center"/>
        <w:rPr>
          <w:rFonts w:ascii="Arial" w:eastAsia="Arial Unicode MS" w:hAnsi="Arial" w:cs="Arial"/>
          <w:lang w:val="pl" w:eastAsia="ar-SA"/>
        </w:rPr>
      </w:pPr>
    </w:p>
    <w:p w14:paraId="4B17C1A2" w14:textId="77777777" w:rsidR="00C32A41" w:rsidRDefault="00C32A41">
      <w:pPr>
        <w:spacing w:before="120" w:after="120" w:line="276" w:lineRule="auto"/>
        <w:contextualSpacing/>
        <w:jc w:val="center"/>
        <w:rPr>
          <w:rFonts w:ascii="Arial" w:eastAsia="Arial Unicode MS" w:hAnsi="Arial" w:cs="Arial"/>
          <w:lang w:val="pl" w:eastAsia="ar-SA"/>
        </w:rPr>
      </w:pPr>
    </w:p>
    <w:p w14:paraId="696C458E" w14:textId="77777777" w:rsidR="00C32A41" w:rsidRDefault="00B721B3">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- 05.03.05.b</w:t>
      </w:r>
    </w:p>
    <w:p w14:paraId="79B55364" w14:textId="77777777" w:rsidR="00C32A41" w:rsidRDefault="00C32A41">
      <w:pPr>
        <w:keepNext/>
        <w:tabs>
          <w:tab w:val="left" w:pos="1134"/>
        </w:tabs>
        <w:jc w:val="center"/>
        <w:outlineLvl w:val="2"/>
        <w:rPr>
          <w:rFonts w:ascii="Arial" w:eastAsiaTheme="majorEastAsia" w:hAnsi="Arial" w:cs="Arial"/>
          <w:bCs/>
          <w:iCs/>
        </w:rPr>
      </w:pPr>
    </w:p>
    <w:p w14:paraId="3C4D185E" w14:textId="77777777" w:rsidR="00C32A41" w:rsidRDefault="00C32A41">
      <w:pPr>
        <w:spacing w:before="120" w:after="120" w:line="276" w:lineRule="auto"/>
        <w:contextualSpacing/>
        <w:jc w:val="center"/>
        <w:rPr>
          <w:rFonts w:ascii="Arial" w:eastAsiaTheme="majorEastAsia" w:hAnsi="Arial" w:cs="Arial"/>
          <w:bCs/>
          <w:iCs/>
        </w:rPr>
      </w:pPr>
    </w:p>
    <w:p w14:paraId="74AC9D7F" w14:textId="77777777" w:rsidR="00C32A41" w:rsidRDefault="00B721B3">
      <w:pPr>
        <w:tabs>
          <w:tab w:val="left" w:pos="0"/>
          <w:tab w:val="right" w:pos="8809"/>
        </w:tabs>
        <w:jc w:val="center"/>
        <w:rPr>
          <w:rFonts w:ascii="Arial" w:eastAsiaTheme="majorEastAsia" w:hAnsi="Arial" w:cs="Arial"/>
          <w:bCs/>
          <w:iCs/>
          <w:lang w:val="pl"/>
        </w:rPr>
      </w:pPr>
      <w:r>
        <w:rPr>
          <w:rFonts w:ascii="Arial" w:eastAsiaTheme="majorEastAsia" w:hAnsi="Arial" w:cs="Arial"/>
          <w:bCs/>
          <w:iCs/>
          <w:lang w:val="pl"/>
        </w:rPr>
        <w:t>NAWIERZCHNIA Z BETONU ASFALTOWEGO.</w:t>
      </w:r>
    </w:p>
    <w:p w14:paraId="1D22F8B1" w14:textId="77777777" w:rsidR="00C32A41" w:rsidRDefault="00B721B3">
      <w:pPr>
        <w:tabs>
          <w:tab w:val="left" w:pos="0"/>
          <w:tab w:val="right" w:pos="8809"/>
        </w:tabs>
        <w:jc w:val="center"/>
        <w:rPr>
          <w:rFonts w:ascii="Arial" w:eastAsia="Arial Unicode MS" w:hAnsi="Arial" w:cs="Arial"/>
          <w:highlight w:val="yellow"/>
          <w:lang w:val="pl" w:eastAsia="ar-SA"/>
        </w:rPr>
      </w:pPr>
      <w:r>
        <w:rPr>
          <w:rFonts w:ascii="Arial" w:eastAsiaTheme="majorEastAsia" w:hAnsi="Arial" w:cs="Arial"/>
          <w:bCs/>
          <w:iCs/>
          <w:lang w:val="pl"/>
        </w:rPr>
        <w:t xml:space="preserve"> WARSTWA WIĄŻĄCA KR 1-2.</w:t>
      </w:r>
    </w:p>
    <w:p w14:paraId="61AB52F9" w14:textId="77777777" w:rsidR="00C32A41" w:rsidRDefault="00C32A41">
      <w:pPr>
        <w:tabs>
          <w:tab w:val="left" w:pos="1134"/>
        </w:tabs>
        <w:jc w:val="center"/>
        <w:rPr>
          <w:rFonts w:ascii="Verdana" w:eastAsia="Arial Unicode MS" w:hAnsi="Verdana" w:cs="Arial Unicode MS"/>
          <w:lang w:val="pl" w:eastAsia="ar-SA"/>
        </w:rPr>
      </w:pPr>
    </w:p>
    <w:p w14:paraId="049B0EE6"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B974B5F" w14:textId="77777777" w:rsidR="00C32A41" w:rsidRDefault="00C32A41">
      <w:pPr>
        <w:tabs>
          <w:tab w:val="left" w:pos="0"/>
          <w:tab w:val="right" w:pos="8809"/>
        </w:tabs>
        <w:rPr>
          <w:rFonts w:ascii="Arial" w:hAnsi="Arial" w:cs="Arial"/>
          <w:b/>
        </w:rPr>
      </w:pPr>
    </w:p>
    <w:p w14:paraId="06334FB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79869910" w14:textId="77777777" w:rsidR="00C32A41" w:rsidRDefault="00C32A41">
      <w:pPr>
        <w:tabs>
          <w:tab w:val="left" w:pos="1134"/>
        </w:tabs>
        <w:jc w:val="center"/>
        <w:rPr>
          <w:rFonts w:ascii="Verdana" w:hAnsi="Verdana"/>
          <w:b/>
          <w:sz w:val="18"/>
          <w:szCs w:val="18"/>
        </w:rPr>
      </w:pPr>
    </w:p>
    <w:p w14:paraId="3BAAFCB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AEB74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EBADA3E" w14:textId="77777777" w:rsidR="00C32A41" w:rsidRDefault="00C32A41">
      <w:pPr>
        <w:tabs>
          <w:tab w:val="right" w:pos="9072"/>
        </w:tabs>
        <w:jc w:val="center"/>
        <w:rPr>
          <w:rFonts w:ascii="Verdana" w:hAnsi="Verdana"/>
          <w:b/>
          <w:sz w:val="18"/>
          <w:szCs w:val="18"/>
        </w:rPr>
      </w:pPr>
    </w:p>
    <w:p w14:paraId="51534B1F" w14:textId="77777777" w:rsidR="00C32A41" w:rsidRDefault="00C32A41">
      <w:pPr>
        <w:rPr>
          <w:rFonts w:ascii="Verdana" w:hAnsi="Verdana"/>
          <w:b/>
          <w:sz w:val="18"/>
          <w:szCs w:val="18"/>
        </w:rPr>
      </w:pPr>
    </w:p>
    <w:p w14:paraId="0375D2D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A26F94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436950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CFF0A4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3A012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F4A7029"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55BDA391"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738E73C"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0D0BE8C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CEDD710"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B604033"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68BD7F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1DEA01AB"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54EC1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2954F2AD"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AEE93D7"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DAA7366"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3F19F728" w14:textId="77777777" w:rsidR="00C32A41" w:rsidRDefault="00C32A41">
      <w:pPr>
        <w:spacing w:before="120" w:after="120" w:line="276" w:lineRule="auto"/>
        <w:contextualSpacing/>
        <w:jc w:val="center"/>
        <w:rPr>
          <w:rFonts w:ascii="Verdana" w:eastAsia="Arial Unicode MS" w:hAnsi="Verdana" w:cs="Arial Unicode MS"/>
          <w:highlight w:val="cyan"/>
          <w:lang w:val="pl" w:eastAsia="ar-SA"/>
        </w:rPr>
      </w:pPr>
    </w:p>
    <w:p w14:paraId="622B90F9"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3C657953"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1BEC28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4DEC4DF7" w14:textId="77777777" w:rsidR="00C32A41" w:rsidRDefault="00C32A41">
      <w:pPr>
        <w:spacing w:before="120" w:after="120" w:line="276" w:lineRule="auto"/>
        <w:contextualSpacing/>
        <w:jc w:val="center"/>
        <w:rPr>
          <w:rFonts w:ascii="Verdana" w:eastAsia="Arial Unicode MS" w:hAnsi="Verdana" w:cs="Arial Unicode MS"/>
          <w:lang w:val="pl" w:eastAsia="ar-SA"/>
        </w:rPr>
      </w:pPr>
    </w:p>
    <w:p w14:paraId="7D77EC72" w14:textId="7550E481" w:rsidR="00C32A41" w:rsidRDefault="002C739E">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5A7051">
        <w:rPr>
          <w:rFonts w:ascii="Verdana" w:eastAsia="Arial Unicode MS" w:hAnsi="Verdana" w:cs="Arial Unicode MS"/>
          <w:lang w:val="pl" w:eastAsia="ar-SA"/>
        </w:rPr>
        <w:t xml:space="preserve"> 2021</w:t>
      </w:r>
    </w:p>
    <w:p w14:paraId="7CB6CAF2" w14:textId="77777777" w:rsidR="00C32A41" w:rsidRDefault="00C32A41">
      <w:pPr>
        <w:tabs>
          <w:tab w:val="right" w:pos="9072"/>
        </w:tabs>
        <w:jc w:val="center"/>
        <w:rPr>
          <w:rFonts w:ascii="Verdana" w:hAnsi="Verdana"/>
          <w:b/>
          <w:sz w:val="18"/>
          <w:szCs w:val="18"/>
        </w:rPr>
      </w:pPr>
    </w:p>
    <w:p w14:paraId="0B9497BC" w14:textId="77777777" w:rsidR="00C32A41" w:rsidRDefault="00C32A41">
      <w:pPr>
        <w:tabs>
          <w:tab w:val="right" w:pos="9072"/>
        </w:tabs>
        <w:jc w:val="center"/>
        <w:rPr>
          <w:rFonts w:ascii="Verdana" w:hAnsi="Verdana"/>
          <w:b/>
          <w:sz w:val="18"/>
          <w:szCs w:val="18"/>
        </w:rPr>
      </w:pPr>
    </w:p>
    <w:p w14:paraId="5E8DB779" w14:textId="77777777" w:rsidR="00C32A41" w:rsidRDefault="00C32A41">
      <w:pPr>
        <w:tabs>
          <w:tab w:val="right" w:pos="9072"/>
        </w:tabs>
        <w:jc w:val="center"/>
        <w:rPr>
          <w:rFonts w:ascii="Verdana" w:hAnsi="Verdana"/>
        </w:rPr>
      </w:pPr>
    </w:p>
    <w:p w14:paraId="7DC4954A" w14:textId="77777777" w:rsidR="00C32A41" w:rsidRDefault="00B721B3">
      <w:pPr>
        <w:spacing w:before="120" w:after="120" w:line="276" w:lineRule="auto"/>
        <w:contextualSpacing/>
        <w:rPr>
          <w:rFonts w:ascii="Arial" w:eastAsia="Arial Unicode MS" w:hAnsi="Arial" w:cs="Arial"/>
          <w:sz w:val="24"/>
          <w:szCs w:val="24"/>
          <w:lang w:val="pl" w:eastAsia="ar-SA"/>
        </w:rPr>
      </w:pPr>
      <w:r>
        <w:rPr>
          <w:rFonts w:ascii="Arial" w:eastAsia="Arial Unicode MS" w:hAnsi="Arial" w:cs="Arial"/>
          <w:sz w:val="24"/>
          <w:szCs w:val="24"/>
          <w:lang w:val="pl" w:eastAsia="ar-SA"/>
        </w:rPr>
        <w:t>SPIS TREŚCI:</w:t>
      </w:r>
    </w:p>
    <w:p w14:paraId="79A02D24" w14:textId="77777777" w:rsidR="00C32A41" w:rsidRDefault="00C32A41">
      <w:pPr>
        <w:spacing w:before="120" w:after="120" w:line="276" w:lineRule="auto"/>
        <w:contextualSpacing/>
        <w:jc w:val="center"/>
        <w:rPr>
          <w:rFonts w:ascii="Arial" w:eastAsia="Arial Unicode MS" w:hAnsi="Arial" w:cs="Arial"/>
          <w:lang w:val="pl" w:eastAsia="ar-SA"/>
        </w:rPr>
      </w:pPr>
    </w:p>
    <w:p w14:paraId="10F0C8A0" w14:textId="77777777" w:rsidR="00C32A41" w:rsidRDefault="007C6234">
      <w:pPr>
        <w:pStyle w:val="Spistreci1"/>
        <w:tabs>
          <w:tab w:val="clear" w:pos="9060"/>
          <w:tab w:val="right" w:leader="dot" w:pos="9072"/>
        </w:tabs>
        <w:rPr>
          <w:rFonts w:ascii="Arial" w:eastAsiaTheme="minorEastAsia" w:hAnsi="Arial" w:cs="Arial"/>
        </w:rPr>
      </w:pPr>
      <w:hyperlink w:anchor="_Toc34917730" w:history="1">
        <w:r w:rsidR="00B721B3">
          <w:rPr>
            <w:rStyle w:val="Hipercze"/>
            <w:rFonts w:ascii="Arial" w:hAnsi="Arial" w:cs="Arial"/>
            <w:color w:val="auto"/>
            <w:u w:val="none"/>
          </w:rPr>
          <w:t xml:space="preserve">1. WSTĘP </w:t>
        </w:r>
        <w:r w:rsidR="00B721B3">
          <w:rPr>
            <w:rStyle w:val="Hipercze"/>
            <w:rFonts w:ascii="Arial" w:hAnsi="Arial" w:cs="Arial"/>
            <w:bCs/>
            <w:color w:val="auto"/>
            <w:u w:val="none"/>
          </w:rPr>
          <w:t xml:space="preserve">………………………………………………………………………….……………………….…… </w:t>
        </w:r>
        <w:r w:rsidR="00B721B3">
          <w:rPr>
            <w:rFonts w:ascii="Arial" w:hAnsi="Arial" w:cs="Arial"/>
            <w:webHidden/>
          </w:rPr>
          <w:t>3</w:t>
        </w:r>
      </w:hyperlink>
    </w:p>
    <w:p w14:paraId="004D500F" w14:textId="77777777" w:rsidR="00C32A41" w:rsidRDefault="007C6234">
      <w:pPr>
        <w:pStyle w:val="Spistreci1"/>
        <w:tabs>
          <w:tab w:val="clear" w:pos="9060"/>
          <w:tab w:val="right" w:leader="dot" w:pos="9072"/>
        </w:tabs>
        <w:rPr>
          <w:rFonts w:ascii="Arial" w:eastAsiaTheme="minorEastAsia" w:hAnsi="Arial" w:cs="Arial"/>
        </w:rPr>
      </w:pPr>
      <w:hyperlink w:anchor="_Toc34917736" w:history="1">
        <w:r w:rsidR="00B721B3">
          <w:rPr>
            <w:rStyle w:val="Hipercze"/>
            <w:rFonts w:ascii="Arial" w:hAnsi="Arial" w:cs="Arial"/>
            <w:color w:val="auto"/>
            <w:u w:val="none"/>
          </w:rPr>
          <w:t xml:space="preserve">2. MATERIAŁY </w:t>
        </w:r>
        <w:r w:rsidR="00B721B3">
          <w:rPr>
            <w:rStyle w:val="Hipercze"/>
            <w:rFonts w:ascii="Arial" w:hAnsi="Arial" w:cs="Arial"/>
            <w:bCs/>
            <w:color w:val="auto"/>
            <w:u w:val="none"/>
          </w:rPr>
          <w:t>…………………………………………………………………………….……………………</w:t>
        </w:r>
        <w:r w:rsidR="00B721B3">
          <w:rPr>
            <w:rFonts w:ascii="Arial" w:hAnsi="Arial" w:cs="Arial"/>
            <w:webHidden/>
          </w:rPr>
          <w:t xml:space="preserve"> 3</w:t>
        </w:r>
      </w:hyperlink>
    </w:p>
    <w:p w14:paraId="31051030" w14:textId="77777777" w:rsidR="00C32A41" w:rsidRDefault="007C6234">
      <w:pPr>
        <w:pStyle w:val="Spistreci1"/>
        <w:tabs>
          <w:tab w:val="clear" w:pos="9060"/>
          <w:tab w:val="right" w:leader="dot" w:pos="9072"/>
        </w:tabs>
        <w:rPr>
          <w:rFonts w:ascii="Arial" w:eastAsiaTheme="minorEastAsia" w:hAnsi="Arial" w:cs="Arial"/>
        </w:rPr>
      </w:pPr>
      <w:hyperlink w:anchor="_Toc34917737" w:history="1">
        <w:r w:rsidR="00B721B3">
          <w:rPr>
            <w:rStyle w:val="Hipercze"/>
            <w:rFonts w:ascii="Arial" w:hAnsi="Arial" w:cs="Arial"/>
            <w:color w:val="auto"/>
            <w:u w:val="none"/>
          </w:rPr>
          <w:t xml:space="preserve">3. SPRZĘT </w:t>
        </w:r>
        <w:r w:rsidR="00B721B3">
          <w:rPr>
            <w:rStyle w:val="Hipercze"/>
            <w:rFonts w:ascii="Arial" w:hAnsi="Arial" w:cs="Arial"/>
            <w:bCs/>
            <w:color w:val="auto"/>
            <w:u w:val="none"/>
          </w:rPr>
          <w:t xml:space="preserve">……………………………………………………………………………….…………………...… </w:t>
        </w:r>
        <w:r w:rsidR="00B721B3">
          <w:rPr>
            <w:rFonts w:ascii="Arial" w:hAnsi="Arial" w:cs="Arial"/>
            <w:webHidden/>
          </w:rPr>
          <w:t>5</w:t>
        </w:r>
      </w:hyperlink>
    </w:p>
    <w:p w14:paraId="2A4AD8E2" w14:textId="77777777" w:rsidR="00C32A41" w:rsidRDefault="007C6234">
      <w:pPr>
        <w:pStyle w:val="Spistreci1"/>
        <w:tabs>
          <w:tab w:val="clear" w:pos="9060"/>
          <w:tab w:val="left" w:pos="142"/>
          <w:tab w:val="right" w:leader="dot" w:pos="9072"/>
        </w:tabs>
        <w:rPr>
          <w:rFonts w:ascii="Arial" w:eastAsiaTheme="minorEastAsia" w:hAnsi="Arial" w:cs="Arial"/>
        </w:rPr>
      </w:pPr>
      <w:hyperlink w:anchor="_Toc34917739" w:history="1">
        <w:r w:rsidR="00B721B3">
          <w:rPr>
            <w:rStyle w:val="Hipercze"/>
            <w:rFonts w:ascii="Arial" w:hAnsi="Arial" w:cs="Arial"/>
            <w:bCs/>
            <w:color w:val="auto"/>
            <w:u w:val="none"/>
          </w:rPr>
          <w:t>4.</w:t>
        </w:r>
        <w:r w:rsidR="00B721B3">
          <w:rPr>
            <w:rStyle w:val="Hipercze"/>
            <w:rFonts w:ascii="Arial" w:hAnsi="Arial" w:cs="Arial"/>
            <w:color w:val="auto"/>
            <w:u w:val="none"/>
          </w:rPr>
          <w:t xml:space="preserve"> TRANSPORT ………………………………………………………………………….……………….…… </w:t>
        </w:r>
        <w:r w:rsidR="00B721B3">
          <w:rPr>
            <w:rFonts w:ascii="Arial" w:hAnsi="Arial" w:cs="Arial"/>
            <w:webHidden/>
          </w:rPr>
          <w:t xml:space="preserve"> 5</w:t>
        </w:r>
      </w:hyperlink>
    </w:p>
    <w:p w14:paraId="146F16FE" w14:textId="77777777" w:rsidR="00C32A41" w:rsidRDefault="00B721B3">
      <w:pPr>
        <w:pStyle w:val="Spistreci1"/>
        <w:tabs>
          <w:tab w:val="left" w:pos="142"/>
          <w:tab w:val="right" w:leader="dot" w:pos="9090"/>
        </w:tabs>
        <w:rPr>
          <w:rFonts w:ascii="Arial" w:eastAsiaTheme="minorEastAsia" w:hAnsi="Arial" w:cs="Arial"/>
        </w:rPr>
      </w:pPr>
      <w:r>
        <w:rPr>
          <w:rStyle w:val="Hipercze"/>
          <w:rFonts w:ascii="Arial" w:hAnsi="Arial" w:cs="Arial"/>
          <w:bCs/>
          <w:color w:val="auto"/>
          <w:u w:val="none"/>
        </w:rPr>
        <w:t>5. WYKONANIE ROBÓT ……………………………………………………………….………………...…… 6</w:t>
      </w:r>
    </w:p>
    <w:p w14:paraId="04D1CD4B" w14:textId="77777777" w:rsidR="00C32A41" w:rsidRDefault="00B721B3">
      <w:pPr>
        <w:pStyle w:val="Spistreci1"/>
        <w:tabs>
          <w:tab w:val="left" w:pos="142"/>
          <w:tab w:val="right" w:leader="dot" w:pos="9090"/>
        </w:tabs>
        <w:rPr>
          <w:rFonts w:ascii="Arial" w:eastAsiaTheme="minorEastAsia" w:hAnsi="Arial" w:cs="Arial"/>
        </w:rPr>
      </w:pPr>
      <w:r>
        <w:rPr>
          <w:rFonts w:ascii="Arial" w:hAnsi="Arial" w:cs="Arial"/>
        </w:rPr>
        <w:t>6. KONTROLA JAKOŚCI ROBÓT ………………………………………………………………………...…. 8</w:t>
      </w:r>
    </w:p>
    <w:p w14:paraId="7FBD6081" w14:textId="77777777" w:rsidR="00C32A41" w:rsidRDefault="007C6234">
      <w:pPr>
        <w:pStyle w:val="Spistreci1"/>
        <w:tabs>
          <w:tab w:val="clear" w:pos="9060"/>
          <w:tab w:val="right" w:leader="dot" w:pos="9072"/>
        </w:tabs>
        <w:rPr>
          <w:rFonts w:ascii="Arial" w:eastAsiaTheme="minorEastAsia" w:hAnsi="Arial" w:cs="Arial"/>
        </w:rPr>
      </w:pPr>
      <w:hyperlink w:anchor="_Toc34917746" w:history="1">
        <w:r w:rsidR="00B721B3">
          <w:rPr>
            <w:rStyle w:val="Hipercze"/>
            <w:rFonts w:ascii="Arial" w:hAnsi="Arial" w:cs="Arial"/>
            <w:color w:val="auto"/>
            <w:u w:val="none"/>
          </w:rPr>
          <w:t xml:space="preserve">7. OBMIAR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1F2C1FCA" w14:textId="77777777" w:rsidR="00C32A41" w:rsidRDefault="007C6234">
      <w:pPr>
        <w:pStyle w:val="Spistreci1"/>
        <w:tabs>
          <w:tab w:val="clear" w:pos="9060"/>
          <w:tab w:val="right" w:leader="dot" w:pos="9072"/>
        </w:tabs>
        <w:rPr>
          <w:rFonts w:ascii="Arial" w:eastAsiaTheme="minorEastAsia" w:hAnsi="Arial" w:cs="Arial"/>
        </w:rPr>
      </w:pPr>
      <w:hyperlink w:anchor="_Toc34917747" w:history="1">
        <w:r w:rsidR="00B721B3">
          <w:rPr>
            <w:rStyle w:val="Hipercze"/>
            <w:rFonts w:ascii="Arial" w:hAnsi="Arial" w:cs="Arial"/>
            <w:color w:val="auto"/>
            <w:u w:val="none"/>
          </w:rPr>
          <w:t xml:space="preserve">8. ODBIÓR ROBÓT </w:t>
        </w:r>
        <w:r w:rsidR="00B721B3">
          <w:rPr>
            <w:rStyle w:val="Hipercze"/>
            <w:rFonts w:ascii="Arial" w:hAnsi="Arial" w:cs="Arial"/>
            <w:bCs/>
            <w:color w:val="auto"/>
            <w:u w:val="none"/>
          </w:rPr>
          <w:t xml:space="preserve">………………………………………………………………….………………….…… </w:t>
        </w:r>
        <w:r w:rsidR="00B721B3">
          <w:rPr>
            <w:rFonts w:ascii="Arial" w:hAnsi="Arial" w:cs="Arial"/>
            <w:webHidden/>
          </w:rPr>
          <w:t>13</w:t>
        </w:r>
      </w:hyperlink>
    </w:p>
    <w:p w14:paraId="7ACC43A6" w14:textId="77777777" w:rsidR="00C32A41" w:rsidRDefault="007C6234">
      <w:pPr>
        <w:pStyle w:val="Spistreci1"/>
        <w:tabs>
          <w:tab w:val="clear" w:pos="9060"/>
          <w:tab w:val="right" w:leader="dot" w:pos="9072"/>
        </w:tabs>
        <w:rPr>
          <w:rFonts w:ascii="Arial" w:eastAsiaTheme="minorEastAsia" w:hAnsi="Arial" w:cs="Arial"/>
        </w:rPr>
      </w:pPr>
      <w:hyperlink w:anchor="_Toc34917748" w:history="1">
        <w:r w:rsidR="00B721B3">
          <w:rPr>
            <w:rStyle w:val="Hipercze"/>
            <w:rFonts w:ascii="Arial" w:hAnsi="Arial" w:cs="Arial"/>
            <w:color w:val="auto"/>
            <w:u w:val="none"/>
          </w:rPr>
          <w:t xml:space="preserve">9. PODSTAWA PŁATNOŚCI </w:t>
        </w:r>
        <w:r w:rsidR="00B721B3">
          <w:rPr>
            <w:rStyle w:val="Hipercze"/>
            <w:rFonts w:ascii="Arial" w:hAnsi="Arial" w:cs="Arial"/>
            <w:bCs/>
            <w:color w:val="auto"/>
            <w:u w:val="none"/>
          </w:rPr>
          <w:t xml:space="preserve">………………………………………………………….………………..…… </w:t>
        </w:r>
        <w:r w:rsidR="00B721B3">
          <w:rPr>
            <w:rFonts w:ascii="Arial" w:hAnsi="Arial" w:cs="Arial"/>
            <w:webHidden/>
          </w:rPr>
          <w:t>13</w:t>
        </w:r>
      </w:hyperlink>
    </w:p>
    <w:p w14:paraId="094C2B26" w14:textId="77777777" w:rsidR="00C32A41" w:rsidRDefault="007C6234">
      <w:pPr>
        <w:pStyle w:val="Spistreci1"/>
        <w:tabs>
          <w:tab w:val="clear" w:pos="9060"/>
          <w:tab w:val="right" w:leader="dot" w:pos="9072"/>
        </w:tabs>
        <w:rPr>
          <w:rFonts w:ascii="Arial" w:eastAsiaTheme="minorEastAsia" w:hAnsi="Arial" w:cs="Arial"/>
        </w:rPr>
      </w:pPr>
      <w:hyperlink w:anchor="_Toc34917750" w:history="1">
        <w:r w:rsidR="00B721B3">
          <w:rPr>
            <w:rStyle w:val="Hipercze"/>
            <w:rFonts w:ascii="Arial" w:hAnsi="Arial" w:cs="Arial"/>
            <w:color w:val="auto"/>
            <w:u w:val="none"/>
          </w:rPr>
          <w:t xml:space="preserve">10. PRZEPISY ZWIĄZANE </w:t>
        </w:r>
        <w:r w:rsidR="00B721B3">
          <w:rPr>
            <w:rStyle w:val="Hipercze"/>
            <w:rFonts w:ascii="Arial" w:hAnsi="Arial" w:cs="Arial"/>
            <w:bCs/>
            <w:color w:val="auto"/>
            <w:u w:val="none"/>
          </w:rPr>
          <w:t xml:space="preserve">…………………………………………………………….……………….…… </w:t>
        </w:r>
        <w:r w:rsidR="00B721B3">
          <w:rPr>
            <w:rFonts w:ascii="Arial" w:hAnsi="Arial" w:cs="Arial"/>
            <w:webHidden/>
          </w:rPr>
          <w:t>14</w:t>
        </w:r>
      </w:hyperlink>
    </w:p>
    <w:p w14:paraId="4A1FFD63" w14:textId="77777777" w:rsidR="00C32A41" w:rsidRDefault="00C32A41">
      <w:pPr>
        <w:tabs>
          <w:tab w:val="right" w:pos="9072"/>
        </w:tabs>
        <w:jc w:val="center"/>
        <w:rPr>
          <w:rFonts w:ascii="Verdana" w:hAnsi="Verdana"/>
          <w:b/>
          <w:sz w:val="18"/>
          <w:szCs w:val="18"/>
        </w:rPr>
      </w:pPr>
    </w:p>
    <w:p w14:paraId="48489BBA" w14:textId="77777777" w:rsidR="00C32A41" w:rsidRDefault="00C32A41">
      <w:pPr>
        <w:tabs>
          <w:tab w:val="right" w:pos="9072"/>
        </w:tabs>
        <w:jc w:val="center"/>
        <w:rPr>
          <w:rFonts w:ascii="Verdana" w:hAnsi="Verdana"/>
          <w:b/>
          <w:sz w:val="18"/>
          <w:szCs w:val="18"/>
        </w:rPr>
      </w:pPr>
    </w:p>
    <w:p w14:paraId="248B0377" w14:textId="77777777" w:rsidR="00C32A41" w:rsidRDefault="00C32A41">
      <w:pPr>
        <w:tabs>
          <w:tab w:val="right" w:pos="9072"/>
        </w:tabs>
        <w:rPr>
          <w:rFonts w:ascii="Verdana" w:hAnsi="Verdana"/>
          <w:b/>
        </w:rPr>
      </w:pPr>
    </w:p>
    <w:p w14:paraId="0410BE5B" w14:textId="77777777" w:rsidR="00C32A41" w:rsidRDefault="00C32A41">
      <w:pPr>
        <w:tabs>
          <w:tab w:val="right" w:pos="9072"/>
        </w:tabs>
        <w:jc w:val="center"/>
        <w:rPr>
          <w:rFonts w:ascii="Arial" w:hAnsi="Arial" w:cs="Arial"/>
          <w:b/>
        </w:rPr>
      </w:pPr>
    </w:p>
    <w:p w14:paraId="11635F89" w14:textId="77777777" w:rsidR="00C32A41" w:rsidRDefault="00C32A41">
      <w:pPr>
        <w:tabs>
          <w:tab w:val="right" w:pos="9072"/>
        </w:tabs>
        <w:jc w:val="center"/>
        <w:rPr>
          <w:rFonts w:ascii="Arial" w:hAnsi="Arial" w:cs="Arial"/>
          <w:b/>
        </w:rPr>
      </w:pPr>
    </w:p>
    <w:p w14:paraId="2C54C045" w14:textId="77777777" w:rsidR="00C32A41" w:rsidRDefault="00C32A41">
      <w:pPr>
        <w:tabs>
          <w:tab w:val="right" w:pos="9072"/>
        </w:tabs>
        <w:jc w:val="center"/>
        <w:rPr>
          <w:rFonts w:ascii="Arial" w:hAnsi="Arial" w:cs="Arial"/>
          <w:b/>
        </w:rPr>
      </w:pPr>
    </w:p>
    <w:p w14:paraId="4A60E511" w14:textId="77777777" w:rsidR="00C32A41" w:rsidRDefault="00C32A41">
      <w:pPr>
        <w:tabs>
          <w:tab w:val="right" w:pos="9072"/>
        </w:tabs>
        <w:jc w:val="center"/>
        <w:rPr>
          <w:rFonts w:ascii="Arial" w:hAnsi="Arial" w:cs="Arial"/>
          <w:b/>
        </w:rPr>
      </w:pPr>
    </w:p>
    <w:p w14:paraId="02409A64" w14:textId="77777777" w:rsidR="00C32A41" w:rsidRDefault="00C32A41">
      <w:pPr>
        <w:tabs>
          <w:tab w:val="right" w:pos="9072"/>
        </w:tabs>
        <w:jc w:val="center"/>
        <w:rPr>
          <w:rFonts w:ascii="Arial" w:hAnsi="Arial" w:cs="Arial"/>
          <w:b/>
        </w:rPr>
      </w:pPr>
    </w:p>
    <w:p w14:paraId="036FA04F" w14:textId="77777777" w:rsidR="00C32A41" w:rsidRDefault="00C32A41">
      <w:pPr>
        <w:tabs>
          <w:tab w:val="right" w:pos="9072"/>
        </w:tabs>
        <w:jc w:val="center"/>
        <w:rPr>
          <w:rFonts w:ascii="Arial" w:hAnsi="Arial" w:cs="Arial"/>
          <w:b/>
        </w:rPr>
      </w:pPr>
    </w:p>
    <w:p w14:paraId="6C65B018" w14:textId="77777777" w:rsidR="00C32A41" w:rsidRDefault="00C32A41">
      <w:pPr>
        <w:tabs>
          <w:tab w:val="right" w:pos="9072"/>
        </w:tabs>
        <w:jc w:val="center"/>
        <w:rPr>
          <w:rFonts w:ascii="Arial" w:hAnsi="Arial" w:cs="Arial"/>
          <w:b/>
        </w:rPr>
      </w:pPr>
    </w:p>
    <w:p w14:paraId="14217ECD" w14:textId="77777777" w:rsidR="00C32A41" w:rsidRDefault="00C32A41">
      <w:pPr>
        <w:tabs>
          <w:tab w:val="right" w:pos="9072"/>
        </w:tabs>
        <w:jc w:val="center"/>
        <w:rPr>
          <w:rFonts w:ascii="Arial" w:hAnsi="Arial" w:cs="Arial"/>
          <w:b/>
        </w:rPr>
      </w:pPr>
    </w:p>
    <w:p w14:paraId="640A2D00" w14:textId="77777777" w:rsidR="00C32A41" w:rsidRDefault="00C32A41">
      <w:pPr>
        <w:tabs>
          <w:tab w:val="right" w:pos="9072"/>
        </w:tabs>
        <w:jc w:val="center"/>
        <w:rPr>
          <w:rFonts w:ascii="Arial" w:hAnsi="Arial" w:cs="Arial"/>
          <w:b/>
        </w:rPr>
      </w:pPr>
    </w:p>
    <w:p w14:paraId="756D517B" w14:textId="77777777" w:rsidR="00C32A41" w:rsidRDefault="00C32A41">
      <w:pPr>
        <w:tabs>
          <w:tab w:val="right" w:pos="9072"/>
        </w:tabs>
        <w:jc w:val="center"/>
        <w:rPr>
          <w:rFonts w:ascii="Arial" w:hAnsi="Arial" w:cs="Arial"/>
          <w:b/>
        </w:rPr>
      </w:pPr>
    </w:p>
    <w:p w14:paraId="7DDBDEE1" w14:textId="77777777" w:rsidR="00C32A41" w:rsidRDefault="00C32A41">
      <w:pPr>
        <w:tabs>
          <w:tab w:val="right" w:pos="9072"/>
        </w:tabs>
        <w:jc w:val="center"/>
        <w:rPr>
          <w:rFonts w:ascii="Arial" w:hAnsi="Arial" w:cs="Arial"/>
          <w:b/>
        </w:rPr>
      </w:pPr>
    </w:p>
    <w:p w14:paraId="77026009" w14:textId="77777777" w:rsidR="00C32A41" w:rsidRDefault="00C32A41">
      <w:pPr>
        <w:tabs>
          <w:tab w:val="right" w:pos="9072"/>
        </w:tabs>
        <w:jc w:val="center"/>
        <w:rPr>
          <w:rFonts w:ascii="Arial" w:hAnsi="Arial" w:cs="Arial"/>
          <w:b/>
        </w:rPr>
      </w:pPr>
    </w:p>
    <w:p w14:paraId="312B34AD" w14:textId="77777777" w:rsidR="00C32A41" w:rsidRDefault="00C32A41">
      <w:pPr>
        <w:tabs>
          <w:tab w:val="right" w:pos="9072"/>
        </w:tabs>
        <w:jc w:val="center"/>
        <w:rPr>
          <w:rFonts w:ascii="Arial" w:hAnsi="Arial" w:cs="Arial"/>
          <w:b/>
        </w:rPr>
      </w:pPr>
    </w:p>
    <w:p w14:paraId="6190B0FB" w14:textId="77777777" w:rsidR="00C32A41" w:rsidRDefault="00C32A41">
      <w:pPr>
        <w:tabs>
          <w:tab w:val="right" w:pos="9072"/>
        </w:tabs>
        <w:jc w:val="center"/>
        <w:rPr>
          <w:rFonts w:ascii="Arial" w:hAnsi="Arial" w:cs="Arial"/>
          <w:b/>
        </w:rPr>
      </w:pPr>
    </w:p>
    <w:p w14:paraId="06E268C0" w14:textId="77777777" w:rsidR="00C32A41" w:rsidRDefault="00C32A41">
      <w:pPr>
        <w:tabs>
          <w:tab w:val="right" w:pos="9072"/>
        </w:tabs>
        <w:jc w:val="center"/>
        <w:rPr>
          <w:rFonts w:ascii="Arial" w:hAnsi="Arial" w:cs="Arial"/>
          <w:b/>
        </w:rPr>
      </w:pPr>
    </w:p>
    <w:p w14:paraId="36D93FE1" w14:textId="77777777" w:rsidR="00C32A41" w:rsidRDefault="00C32A41">
      <w:pPr>
        <w:tabs>
          <w:tab w:val="right" w:pos="9072"/>
        </w:tabs>
        <w:jc w:val="center"/>
        <w:rPr>
          <w:rFonts w:ascii="Arial" w:hAnsi="Arial" w:cs="Arial"/>
          <w:b/>
        </w:rPr>
      </w:pPr>
    </w:p>
    <w:p w14:paraId="47746212" w14:textId="77777777" w:rsidR="00C32A41" w:rsidRDefault="00C32A41">
      <w:pPr>
        <w:tabs>
          <w:tab w:val="right" w:pos="9072"/>
        </w:tabs>
        <w:jc w:val="center"/>
        <w:rPr>
          <w:rFonts w:ascii="Arial" w:hAnsi="Arial" w:cs="Arial"/>
          <w:b/>
        </w:rPr>
      </w:pPr>
    </w:p>
    <w:p w14:paraId="56E32361" w14:textId="77777777" w:rsidR="00C32A41" w:rsidRDefault="00C32A41">
      <w:pPr>
        <w:tabs>
          <w:tab w:val="right" w:pos="9072"/>
        </w:tabs>
        <w:jc w:val="center"/>
        <w:rPr>
          <w:rFonts w:ascii="Arial" w:hAnsi="Arial" w:cs="Arial"/>
          <w:b/>
        </w:rPr>
      </w:pPr>
    </w:p>
    <w:p w14:paraId="62D12E15" w14:textId="77777777" w:rsidR="00C32A41" w:rsidRDefault="00C32A41">
      <w:pPr>
        <w:tabs>
          <w:tab w:val="right" w:pos="9072"/>
        </w:tabs>
        <w:jc w:val="center"/>
        <w:rPr>
          <w:rFonts w:ascii="Arial" w:hAnsi="Arial" w:cs="Arial"/>
          <w:b/>
        </w:rPr>
      </w:pPr>
    </w:p>
    <w:p w14:paraId="0DE1C069" w14:textId="77777777" w:rsidR="00C32A41" w:rsidRDefault="00C32A41">
      <w:pPr>
        <w:tabs>
          <w:tab w:val="right" w:pos="9072"/>
        </w:tabs>
        <w:jc w:val="center"/>
        <w:rPr>
          <w:rFonts w:ascii="Arial" w:hAnsi="Arial" w:cs="Arial"/>
          <w:b/>
        </w:rPr>
      </w:pPr>
    </w:p>
    <w:p w14:paraId="289F3B63" w14:textId="77777777" w:rsidR="00C32A41" w:rsidRDefault="00C32A41">
      <w:pPr>
        <w:tabs>
          <w:tab w:val="right" w:pos="9072"/>
        </w:tabs>
        <w:jc w:val="center"/>
        <w:rPr>
          <w:rFonts w:ascii="Arial" w:hAnsi="Arial" w:cs="Arial"/>
          <w:b/>
        </w:rPr>
      </w:pPr>
    </w:p>
    <w:p w14:paraId="7FB60420" w14:textId="77777777" w:rsidR="00C32A41" w:rsidRDefault="00C32A41">
      <w:pPr>
        <w:tabs>
          <w:tab w:val="right" w:pos="9072"/>
        </w:tabs>
        <w:jc w:val="center"/>
        <w:rPr>
          <w:rFonts w:ascii="Arial" w:hAnsi="Arial" w:cs="Arial"/>
          <w:b/>
        </w:rPr>
      </w:pPr>
    </w:p>
    <w:p w14:paraId="04C9448D" w14:textId="77777777" w:rsidR="00C32A41" w:rsidRDefault="00C32A41">
      <w:pPr>
        <w:tabs>
          <w:tab w:val="right" w:pos="9072"/>
        </w:tabs>
        <w:jc w:val="center"/>
        <w:rPr>
          <w:rFonts w:ascii="Arial" w:hAnsi="Arial" w:cs="Arial"/>
          <w:b/>
        </w:rPr>
      </w:pPr>
    </w:p>
    <w:p w14:paraId="385791B1" w14:textId="77777777" w:rsidR="00C32A41" w:rsidRDefault="00C32A41">
      <w:pPr>
        <w:tabs>
          <w:tab w:val="right" w:pos="9072"/>
        </w:tabs>
        <w:jc w:val="center"/>
        <w:rPr>
          <w:rFonts w:ascii="Arial" w:hAnsi="Arial" w:cs="Arial"/>
          <w:b/>
        </w:rPr>
      </w:pPr>
    </w:p>
    <w:p w14:paraId="127CFD2F" w14:textId="77777777" w:rsidR="00C32A41" w:rsidRDefault="00C32A41">
      <w:pPr>
        <w:tabs>
          <w:tab w:val="right" w:pos="9072"/>
        </w:tabs>
        <w:jc w:val="center"/>
        <w:rPr>
          <w:rFonts w:ascii="Arial" w:hAnsi="Arial" w:cs="Arial"/>
          <w:b/>
        </w:rPr>
      </w:pPr>
    </w:p>
    <w:p w14:paraId="6009AB4B" w14:textId="77777777" w:rsidR="00C32A41" w:rsidRDefault="00C32A41">
      <w:pPr>
        <w:tabs>
          <w:tab w:val="right" w:pos="9072"/>
        </w:tabs>
        <w:jc w:val="center"/>
        <w:rPr>
          <w:rFonts w:ascii="Arial" w:hAnsi="Arial" w:cs="Arial"/>
          <w:b/>
        </w:rPr>
      </w:pPr>
    </w:p>
    <w:p w14:paraId="6DFD576D" w14:textId="77777777" w:rsidR="00C32A41" w:rsidRDefault="00C32A41">
      <w:pPr>
        <w:tabs>
          <w:tab w:val="right" w:pos="9072"/>
        </w:tabs>
        <w:jc w:val="center"/>
        <w:rPr>
          <w:rFonts w:ascii="Arial" w:hAnsi="Arial" w:cs="Arial"/>
          <w:b/>
        </w:rPr>
      </w:pPr>
    </w:p>
    <w:p w14:paraId="2B0FE21E" w14:textId="77777777" w:rsidR="00C32A41" w:rsidRDefault="00C32A41">
      <w:pPr>
        <w:tabs>
          <w:tab w:val="right" w:pos="9072"/>
        </w:tabs>
        <w:jc w:val="center"/>
        <w:rPr>
          <w:rFonts w:ascii="Arial" w:hAnsi="Arial" w:cs="Arial"/>
          <w:b/>
        </w:rPr>
      </w:pPr>
    </w:p>
    <w:p w14:paraId="1B625392" w14:textId="77777777" w:rsidR="00C32A41" w:rsidRDefault="00C32A41">
      <w:pPr>
        <w:tabs>
          <w:tab w:val="right" w:pos="9072"/>
        </w:tabs>
        <w:jc w:val="center"/>
        <w:rPr>
          <w:rFonts w:ascii="Arial" w:hAnsi="Arial" w:cs="Arial"/>
          <w:b/>
        </w:rPr>
      </w:pPr>
    </w:p>
    <w:p w14:paraId="262CC422" w14:textId="77777777" w:rsidR="00C32A41" w:rsidRDefault="00C32A41">
      <w:pPr>
        <w:tabs>
          <w:tab w:val="right" w:pos="9072"/>
        </w:tabs>
        <w:jc w:val="center"/>
        <w:rPr>
          <w:rFonts w:ascii="Arial" w:hAnsi="Arial" w:cs="Arial"/>
          <w:b/>
        </w:rPr>
      </w:pPr>
    </w:p>
    <w:p w14:paraId="1E6D19C1" w14:textId="77777777" w:rsidR="00C32A41" w:rsidRDefault="00C32A41">
      <w:pPr>
        <w:tabs>
          <w:tab w:val="right" w:pos="9072"/>
        </w:tabs>
        <w:jc w:val="center"/>
        <w:rPr>
          <w:rFonts w:ascii="Arial" w:hAnsi="Arial" w:cs="Arial"/>
          <w:b/>
        </w:rPr>
      </w:pPr>
    </w:p>
    <w:p w14:paraId="5A81CCF0" w14:textId="77777777" w:rsidR="00C32A41" w:rsidRDefault="00C32A41">
      <w:pPr>
        <w:tabs>
          <w:tab w:val="right" w:pos="9072"/>
        </w:tabs>
        <w:jc w:val="center"/>
        <w:rPr>
          <w:rFonts w:ascii="Arial" w:hAnsi="Arial" w:cs="Arial"/>
          <w:b/>
        </w:rPr>
      </w:pPr>
    </w:p>
    <w:p w14:paraId="40A00C7F" w14:textId="77777777" w:rsidR="00C32A41" w:rsidRDefault="00C32A41">
      <w:pPr>
        <w:tabs>
          <w:tab w:val="right" w:pos="9072"/>
        </w:tabs>
        <w:jc w:val="center"/>
        <w:rPr>
          <w:rFonts w:ascii="Arial" w:hAnsi="Arial" w:cs="Arial"/>
          <w:b/>
        </w:rPr>
      </w:pPr>
    </w:p>
    <w:p w14:paraId="570C40E6" w14:textId="77777777" w:rsidR="00C32A41" w:rsidRDefault="00C32A41">
      <w:pPr>
        <w:tabs>
          <w:tab w:val="right" w:pos="9072"/>
        </w:tabs>
        <w:jc w:val="center"/>
        <w:rPr>
          <w:rFonts w:ascii="Arial" w:hAnsi="Arial" w:cs="Arial"/>
          <w:b/>
        </w:rPr>
      </w:pPr>
    </w:p>
    <w:p w14:paraId="0C228C74" w14:textId="77777777" w:rsidR="00C32A41" w:rsidRDefault="00C32A41">
      <w:pPr>
        <w:tabs>
          <w:tab w:val="right" w:pos="9072"/>
        </w:tabs>
        <w:jc w:val="center"/>
        <w:rPr>
          <w:rFonts w:ascii="Arial" w:hAnsi="Arial" w:cs="Arial"/>
          <w:b/>
        </w:rPr>
      </w:pPr>
    </w:p>
    <w:p w14:paraId="2472E9E7" w14:textId="77777777" w:rsidR="00C32A41" w:rsidRDefault="00C32A41">
      <w:pPr>
        <w:tabs>
          <w:tab w:val="right" w:pos="9072"/>
        </w:tabs>
        <w:jc w:val="center"/>
        <w:rPr>
          <w:rFonts w:ascii="Arial" w:hAnsi="Arial" w:cs="Arial"/>
          <w:b/>
        </w:rPr>
      </w:pPr>
    </w:p>
    <w:p w14:paraId="6783F964" w14:textId="77777777" w:rsidR="00C32A41" w:rsidRDefault="00C32A41">
      <w:pPr>
        <w:tabs>
          <w:tab w:val="right" w:pos="9072"/>
        </w:tabs>
        <w:jc w:val="center"/>
        <w:rPr>
          <w:rFonts w:ascii="Arial" w:hAnsi="Arial" w:cs="Arial"/>
          <w:b/>
        </w:rPr>
      </w:pPr>
    </w:p>
    <w:p w14:paraId="4D034D31" w14:textId="77777777" w:rsidR="00C32A41" w:rsidRDefault="00C32A41">
      <w:pPr>
        <w:tabs>
          <w:tab w:val="right" w:pos="9072"/>
        </w:tabs>
        <w:jc w:val="center"/>
        <w:rPr>
          <w:rFonts w:ascii="Arial" w:hAnsi="Arial" w:cs="Arial"/>
          <w:b/>
        </w:rPr>
      </w:pPr>
    </w:p>
    <w:p w14:paraId="12B51ECE" w14:textId="77777777" w:rsidR="00C32A41" w:rsidRDefault="00C32A41">
      <w:pPr>
        <w:tabs>
          <w:tab w:val="right" w:pos="9072"/>
        </w:tabs>
        <w:jc w:val="center"/>
        <w:rPr>
          <w:rFonts w:ascii="Arial" w:hAnsi="Arial" w:cs="Arial"/>
          <w:b/>
        </w:rPr>
      </w:pPr>
    </w:p>
    <w:p w14:paraId="496B7BAF" w14:textId="77777777" w:rsidR="00C32A41" w:rsidRDefault="00C32A41">
      <w:pPr>
        <w:tabs>
          <w:tab w:val="right" w:pos="9072"/>
        </w:tabs>
        <w:jc w:val="center"/>
        <w:rPr>
          <w:rFonts w:ascii="Arial" w:hAnsi="Arial" w:cs="Arial"/>
          <w:b/>
        </w:rPr>
      </w:pPr>
    </w:p>
    <w:p w14:paraId="3B74C0E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br w:type="page"/>
      </w:r>
    </w:p>
    <w:p w14:paraId="0919B0C5"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lastRenderedPageBreak/>
        <w:t>1. WSTĘP</w:t>
      </w:r>
    </w:p>
    <w:p w14:paraId="399F2E4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1.1. Przedmiot STWiORB </w:t>
      </w:r>
    </w:p>
    <w:p w14:paraId="2ABF939E" w14:textId="77777777" w:rsidR="00C32A41" w:rsidRDefault="00B721B3">
      <w:pPr>
        <w:suppressAutoHyphens/>
        <w:overflowPunct w:val="0"/>
        <w:autoSpaceDE w:val="0"/>
        <w:ind w:firstLine="567"/>
        <w:jc w:val="both"/>
        <w:rPr>
          <w:rFonts w:ascii="Arial" w:hAnsi="Arial" w:cs="Arial"/>
          <w:b/>
          <w:sz w:val="18"/>
          <w:szCs w:val="18"/>
          <w:lang w:eastAsia="ar-SA"/>
        </w:rPr>
      </w:pPr>
      <w:r>
        <w:rPr>
          <w:rFonts w:ascii="Arial" w:hAnsi="Arial" w:cs="Arial"/>
          <w:sz w:val="18"/>
          <w:szCs w:val="18"/>
        </w:rPr>
        <w:t xml:space="preserve">Przedmiotem niniejszej Specyfikacji Technicznej Wykonania i Odbioru Robót Budowlanych (STWiORB)      są wymagania techniczne dotyczące wykonania i odbioru warstwy wiążącej z betonu asfaltowego, </w:t>
      </w:r>
      <w:r>
        <w:rPr>
          <w:rFonts w:ascii="Arial" w:hAnsi="Arial" w:cs="Arial"/>
          <w:sz w:val="18"/>
          <w:szCs w:val="18"/>
          <w:lang w:eastAsia="ar-SA"/>
        </w:rPr>
        <w:t>w ramach zadania pn.:</w:t>
      </w:r>
    </w:p>
    <w:p w14:paraId="128ED9DC" w14:textId="4D8960D8" w:rsidR="00C32A41" w:rsidRDefault="00B721B3">
      <w:pPr>
        <w:suppressAutoHyphens/>
        <w:overflowPunct w:val="0"/>
        <w:autoSpaceDE w:val="0"/>
        <w:ind w:firstLine="567"/>
        <w:jc w:val="center"/>
        <w:rPr>
          <w:rFonts w:ascii="Arial" w:hAnsi="Arial" w:cs="Arial"/>
          <w:sz w:val="18"/>
          <w:szCs w:val="18"/>
        </w:rPr>
      </w:pPr>
      <w:r>
        <w:rPr>
          <w:rFonts w:ascii="Arial" w:hAnsi="Arial" w:cs="Arial"/>
          <w:sz w:val="18"/>
          <w:szCs w:val="18"/>
        </w:rPr>
        <w:t>„</w:t>
      </w:r>
      <w:r w:rsidR="005A7051" w:rsidRPr="005A7051">
        <w:rPr>
          <w:rFonts w:ascii="Arial" w:hAnsi="Arial" w:cs="Arial"/>
          <w:sz w:val="18"/>
          <w:szCs w:val="18"/>
        </w:rPr>
        <w:t xml:space="preserve">Przebudowa ul. </w:t>
      </w:r>
      <w:r w:rsidR="00F15EB1">
        <w:rPr>
          <w:rFonts w:ascii="Arial" w:hAnsi="Arial" w:cs="Arial"/>
          <w:sz w:val="18"/>
          <w:szCs w:val="18"/>
        </w:rPr>
        <w:t>Reja</w:t>
      </w:r>
      <w:r w:rsidR="002C739E">
        <w:rPr>
          <w:rFonts w:ascii="Arial" w:hAnsi="Arial" w:cs="Arial"/>
          <w:sz w:val="18"/>
          <w:szCs w:val="18"/>
        </w:rPr>
        <w:t xml:space="preserve"> w mieście</w:t>
      </w:r>
      <w:r w:rsidR="005A7051" w:rsidRPr="005A7051">
        <w:rPr>
          <w:rFonts w:ascii="Arial" w:hAnsi="Arial" w:cs="Arial"/>
          <w:sz w:val="18"/>
          <w:szCs w:val="18"/>
        </w:rPr>
        <w:t xml:space="preserve"> Łańcut</w:t>
      </w:r>
      <w:r>
        <w:rPr>
          <w:rFonts w:ascii="Arial" w:hAnsi="Arial" w:cs="Arial"/>
          <w:sz w:val="18"/>
          <w:szCs w:val="18"/>
        </w:rPr>
        <w:t>”.</w:t>
      </w:r>
    </w:p>
    <w:p w14:paraId="0D488F03" w14:textId="77777777" w:rsidR="00C32A41" w:rsidRDefault="00C32A41">
      <w:pPr>
        <w:suppressAutoHyphens/>
        <w:overflowPunct w:val="0"/>
        <w:autoSpaceDE w:val="0"/>
        <w:rPr>
          <w:rFonts w:ascii="Arial" w:hAnsi="Arial" w:cs="Arial"/>
          <w:b/>
          <w:sz w:val="18"/>
          <w:szCs w:val="18"/>
        </w:rPr>
      </w:pPr>
    </w:p>
    <w:p w14:paraId="33A32182" w14:textId="77777777" w:rsidR="00C32A41" w:rsidRDefault="00B721B3">
      <w:pPr>
        <w:suppressAutoHyphens/>
        <w:overflowPunct w:val="0"/>
        <w:autoSpaceDE w:val="0"/>
        <w:spacing w:after="60"/>
        <w:rPr>
          <w:rFonts w:ascii="Arial" w:hAnsi="Arial" w:cs="Arial"/>
          <w:b/>
          <w:sz w:val="18"/>
          <w:szCs w:val="18"/>
        </w:rPr>
      </w:pPr>
      <w:r>
        <w:rPr>
          <w:rFonts w:ascii="Arial" w:hAnsi="Arial" w:cs="Arial"/>
          <w:b/>
          <w:sz w:val="18"/>
          <w:szCs w:val="18"/>
        </w:rPr>
        <w:t>1.2. Zakres stosowania STWiORB</w:t>
      </w:r>
    </w:p>
    <w:p w14:paraId="144953A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STWiORB jest stosowana jako dokument przetargowy i kontraktowy przy zlecaniu i realizacji robót wymienionych w p. 1.1. </w:t>
      </w:r>
    </w:p>
    <w:p w14:paraId="5C1A8521" w14:textId="77777777" w:rsidR="00C32A41" w:rsidRDefault="00C32A41">
      <w:pPr>
        <w:tabs>
          <w:tab w:val="left" w:pos="0"/>
          <w:tab w:val="right" w:pos="8809"/>
        </w:tabs>
        <w:ind w:firstLine="567"/>
        <w:jc w:val="both"/>
        <w:rPr>
          <w:rFonts w:ascii="Arial" w:hAnsi="Arial" w:cs="Arial"/>
          <w:sz w:val="18"/>
          <w:szCs w:val="18"/>
        </w:rPr>
      </w:pPr>
    </w:p>
    <w:p w14:paraId="007238EE" w14:textId="77777777" w:rsidR="00C32A41" w:rsidRDefault="00B721B3">
      <w:pPr>
        <w:suppressAutoHyphens/>
        <w:overflowPunct w:val="0"/>
        <w:autoSpaceDE w:val="0"/>
        <w:spacing w:after="60"/>
        <w:rPr>
          <w:rFonts w:ascii="Arial" w:hAnsi="Arial" w:cs="Arial"/>
          <w:sz w:val="18"/>
          <w:szCs w:val="18"/>
        </w:rPr>
      </w:pPr>
      <w:r>
        <w:rPr>
          <w:rFonts w:ascii="Arial" w:hAnsi="Arial" w:cs="Arial"/>
          <w:b/>
          <w:sz w:val="18"/>
          <w:szCs w:val="18"/>
        </w:rPr>
        <w:t>1.3. Zakres robót objętych STWiORB</w:t>
      </w:r>
    </w:p>
    <w:p w14:paraId="38FEB231" w14:textId="77777777" w:rsidR="00C32A41" w:rsidRDefault="00B721B3">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nawierzchni z betonu asfaltowego wg normy PN-EN 13108-1 oraz Wymagań Technicznych. WT-2 2014 część I. Mieszanki mineralno-asfaltowe. I WT-2 2016 część II. Wykonanie warstw nawierzchni asfaltowych. </w:t>
      </w:r>
    </w:p>
    <w:p w14:paraId="1E06D054" w14:textId="77777777" w:rsidR="00C32A41" w:rsidRDefault="00B721B3">
      <w:pPr>
        <w:spacing w:before="60" w:after="60"/>
        <w:ind w:firstLine="567"/>
        <w:jc w:val="both"/>
        <w:rPr>
          <w:rFonts w:ascii="Arial" w:hAnsi="Arial" w:cs="Arial"/>
          <w:sz w:val="18"/>
          <w:szCs w:val="18"/>
        </w:rPr>
      </w:pPr>
      <w:r>
        <w:rPr>
          <w:rFonts w:ascii="Arial" w:hAnsi="Arial" w:cs="Arial"/>
          <w:sz w:val="18"/>
          <w:szCs w:val="18"/>
        </w:rPr>
        <w:t xml:space="preserve">Z mieszanki betonu asfaltowego AC 16W dla ruchu KR 1-2, należy wykonać warstwę wiążącą o grubości </w:t>
      </w:r>
      <w:r>
        <w:rPr>
          <w:rFonts w:ascii="Arial" w:hAnsi="Arial" w:cs="Arial"/>
          <w:sz w:val="18"/>
          <w:szCs w:val="18"/>
        </w:rPr>
        <w:br/>
        <w:t>zgodnej z dokumentacją techniczną.</w:t>
      </w:r>
    </w:p>
    <w:p w14:paraId="0672F33F" w14:textId="77777777" w:rsidR="00C32A41" w:rsidRDefault="00B721B3">
      <w:pPr>
        <w:overflowPunct w:val="0"/>
        <w:autoSpaceDE w:val="0"/>
        <w:autoSpaceDN w:val="0"/>
        <w:adjustRightInd w:val="0"/>
        <w:ind w:firstLine="567"/>
        <w:jc w:val="both"/>
        <w:rPr>
          <w:rFonts w:ascii="Arial" w:hAnsi="Arial" w:cs="Arial"/>
          <w:sz w:val="18"/>
          <w:szCs w:val="18"/>
        </w:rPr>
      </w:pPr>
      <w:r>
        <w:rPr>
          <w:rFonts w:ascii="Arial" w:hAnsi="Arial" w:cs="Arial"/>
          <w:sz w:val="18"/>
          <w:szCs w:val="18"/>
        </w:rPr>
        <w:t>Dokładne informacje dotyczące zakresu wykonania robót, znajdują się w Dokumentacji Technicznej.</w:t>
      </w:r>
    </w:p>
    <w:p w14:paraId="02EA6B5E" w14:textId="77777777" w:rsidR="00C32A41" w:rsidRDefault="00B721B3">
      <w:pPr>
        <w:ind w:firstLine="567"/>
        <w:rPr>
          <w:rFonts w:ascii="Arial" w:hAnsi="Arial" w:cs="Arial"/>
          <w:sz w:val="18"/>
          <w:szCs w:val="18"/>
        </w:rPr>
      </w:pPr>
      <w:r>
        <w:rPr>
          <w:rFonts w:ascii="Arial" w:hAnsi="Arial" w:cs="Arial"/>
          <w:sz w:val="18"/>
          <w:szCs w:val="18"/>
        </w:rPr>
        <w:t>Wykonawca Robót zobowiązany jest prowadzić Zakładową Kontrolę Produkcji (ZKP) zgodnie z normą PN-EN 13108-21.</w:t>
      </w:r>
    </w:p>
    <w:p w14:paraId="7625A074" w14:textId="77777777" w:rsidR="00C32A41" w:rsidRDefault="00C32A41">
      <w:pPr>
        <w:ind w:firstLine="567"/>
        <w:rPr>
          <w:rFonts w:ascii="Arial" w:hAnsi="Arial" w:cs="Arial"/>
          <w:sz w:val="18"/>
          <w:szCs w:val="18"/>
        </w:rPr>
      </w:pPr>
    </w:p>
    <w:p w14:paraId="1C8981E6" w14:textId="77777777" w:rsidR="00C32A41" w:rsidRDefault="00B721B3">
      <w:pPr>
        <w:tabs>
          <w:tab w:val="left" w:pos="0"/>
          <w:tab w:val="left" w:pos="4277"/>
        </w:tabs>
        <w:suppressAutoHyphens/>
        <w:overflowPunct w:val="0"/>
        <w:autoSpaceDE w:val="0"/>
        <w:spacing w:after="60"/>
        <w:rPr>
          <w:rFonts w:ascii="Arial" w:hAnsi="Arial" w:cs="Arial"/>
          <w:b/>
          <w:sz w:val="18"/>
          <w:szCs w:val="18"/>
        </w:rPr>
      </w:pPr>
      <w:r>
        <w:rPr>
          <w:rFonts w:ascii="Arial" w:hAnsi="Arial" w:cs="Arial"/>
          <w:b/>
          <w:sz w:val="18"/>
          <w:szCs w:val="18"/>
        </w:rPr>
        <w:t>1.4. Określenia podstawowe</w:t>
      </w:r>
      <w:r>
        <w:rPr>
          <w:rFonts w:ascii="Arial" w:hAnsi="Arial" w:cs="Arial"/>
          <w:b/>
          <w:sz w:val="18"/>
          <w:szCs w:val="18"/>
        </w:rPr>
        <w:tab/>
      </w:r>
    </w:p>
    <w:p w14:paraId="6249136B"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1.4.2. Beton asfaltowy – mieszanka mineralno-asfaltowa o uziarnieniu ciągłym lub nieciągłym tworzy strukturę wzajemnie klinującą się.</w:t>
      </w:r>
    </w:p>
    <w:p w14:paraId="287AD8EC"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1.4.3. Podłoże pod warstwę asfaltową – powierzchnia przygotowana do ułożenia warstwy z mieszanki mineralno-asfaltowej</w:t>
      </w:r>
    </w:p>
    <w:p w14:paraId="0BE0A28A"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1.4.4. Wymiar mieszanki mineralno-asfaltowej – jest to określenie mieszanki mineralno-asfaltowej ze względu na wymiar największego kruszywa.</w:t>
      </w:r>
    </w:p>
    <w:p w14:paraId="43C84294"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1.4.5. Typ mieszanki mineralno-asfaltowej – jest to określenie mieszanki mineralno-asfaltowej ze względu na: krzywą uziarnienia kruszywa (ciągłą lub nieciągłą), zawartość wolnych przestrzeni, proporcje składników lub technologię wytwarzania i wbudowania.</w:t>
      </w:r>
    </w:p>
    <w:p w14:paraId="74AEF550" w14:textId="77777777" w:rsidR="00C32A41" w:rsidRDefault="00B721B3">
      <w:pPr>
        <w:tabs>
          <w:tab w:val="left" w:pos="567"/>
          <w:tab w:val="right" w:pos="8809"/>
        </w:tabs>
        <w:ind w:left="567" w:hanging="567"/>
        <w:jc w:val="both"/>
        <w:rPr>
          <w:rFonts w:ascii="Arial" w:hAnsi="Arial" w:cs="Arial"/>
          <w:sz w:val="18"/>
          <w:szCs w:val="18"/>
        </w:rPr>
      </w:pPr>
      <w:r>
        <w:rPr>
          <w:rFonts w:ascii="Arial" w:hAnsi="Arial" w:cs="Arial"/>
          <w:sz w:val="18"/>
          <w:szCs w:val="18"/>
        </w:rPr>
        <w:t>1.4.6. Pozostałe określenia – podane w niniejszej STWiORB są zgodne z obowiązującymi odpowiednimi polskimi normami i określeniami podanymi w pkt.1.4 STWiORB D-00.00.00 „Wymagania ogólne”.</w:t>
      </w:r>
    </w:p>
    <w:p w14:paraId="7705FE30" w14:textId="77777777" w:rsidR="00C32A41" w:rsidRDefault="00C32A41">
      <w:pPr>
        <w:tabs>
          <w:tab w:val="left" w:pos="0"/>
          <w:tab w:val="right" w:pos="8809"/>
        </w:tabs>
        <w:jc w:val="both"/>
        <w:rPr>
          <w:rFonts w:ascii="Arial" w:hAnsi="Arial" w:cs="Arial"/>
          <w:b/>
          <w:sz w:val="18"/>
          <w:szCs w:val="18"/>
        </w:rPr>
      </w:pPr>
    </w:p>
    <w:p w14:paraId="3BF568A8" w14:textId="77777777" w:rsidR="00C32A41" w:rsidRDefault="00B721B3">
      <w:pPr>
        <w:tabs>
          <w:tab w:val="left" w:pos="0"/>
          <w:tab w:val="right" w:pos="8809"/>
        </w:tabs>
        <w:suppressAutoHyphens/>
        <w:overflowPunct w:val="0"/>
        <w:autoSpaceDE w:val="0"/>
        <w:spacing w:after="60"/>
        <w:rPr>
          <w:rFonts w:ascii="Arial" w:hAnsi="Arial" w:cs="Arial"/>
          <w:b/>
          <w:sz w:val="18"/>
          <w:szCs w:val="18"/>
        </w:rPr>
      </w:pPr>
      <w:r>
        <w:rPr>
          <w:rFonts w:ascii="Arial" w:hAnsi="Arial" w:cs="Arial"/>
          <w:b/>
          <w:sz w:val="18"/>
          <w:szCs w:val="18"/>
        </w:rPr>
        <w:t>1.5. Ogólne wymagania dotyczące robót</w:t>
      </w:r>
    </w:p>
    <w:p w14:paraId="50BCBA3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robót podano w STWiORB D-00.00.00. „Wymagania ogólne” pkt. 1.5.</w:t>
      </w:r>
    </w:p>
    <w:p w14:paraId="733FB660" w14:textId="77777777" w:rsidR="00C32A41" w:rsidRDefault="00C32A41">
      <w:pPr>
        <w:tabs>
          <w:tab w:val="left" w:pos="0"/>
          <w:tab w:val="right" w:pos="8809"/>
        </w:tabs>
        <w:jc w:val="both"/>
        <w:rPr>
          <w:rFonts w:ascii="Arial" w:hAnsi="Arial" w:cs="Arial"/>
          <w:sz w:val="18"/>
          <w:szCs w:val="18"/>
        </w:rPr>
      </w:pPr>
    </w:p>
    <w:p w14:paraId="6E447323" w14:textId="77777777" w:rsidR="00C32A41" w:rsidRDefault="00C32A41">
      <w:pPr>
        <w:tabs>
          <w:tab w:val="left" w:pos="0"/>
          <w:tab w:val="right" w:pos="8809"/>
        </w:tabs>
        <w:jc w:val="both"/>
        <w:rPr>
          <w:rFonts w:ascii="Arial" w:hAnsi="Arial" w:cs="Arial"/>
          <w:sz w:val="18"/>
          <w:szCs w:val="18"/>
        </w:rPr>
      </w:pPr>
    </w:p>
    <w:p w14:paraId="530206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2. MATERIAŁY</w:t>
      </w:r>
    </w:p>
    <w:p w14:paraId="0FAF99D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2.1. Wymagania ogólne</w:t>
      </w:r>
    </w:p>
    <w:p w14:paraId="5EAE6509"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 xml:space="preserve">Ogólne wymagania dotyczące materiałów, ich pozyskiwania i składowania podano w </w:t>
      </w:r>
      <w:r>
        <w:rPr>
          <w:rFonts w:ascii="Arial" w:hAnsi="Arial" w:cs="Arial"/>
          <w:sz w:val="18"/>
          <w:szCs w:val="18"/>
        </w:rPr>
        <w:t>STWiORB</w:t>
      </w:r>
      <w:r>
        <w:rPr>
          <w:rFonts w:ascii="Arial" w:hAnsi="Arial" w:cs="Arial"/>
          <w:spacing w:val="-3"/>
          <w:sz w:val="18"/>
          <w:szCs w:val="18"/>
        </w:rPr>
        <w:t xml:space="preserve"> D-M.00.00.00. „Wymagania ogólne” pkt. 2.</w:t>
      </w:r>
    </w:p>
    <w:p w14:paraId="6366FB7C" w14:textId="77777777" w:rsidR="00C32A41" w:rsidRDefault="00B721B3">
      <w:pPr>
        <w:suppressAutoHyphens/>
        <w:ind w:firstLine="567"/>
        <w:jc w:val="both"/>
        <w:rPr>
          <w:rFonts w:ascii="Arial" w:hAnsi="Arial" w:cs="Arial"/>
          <w:sz w:val="18"/>
          <w:szCs w:val="18"/>
        </w:rPr>
      </w:pPr>
      <w:r>
        <w:rPr>
          <w:rFonts w:ascii="Arial" w:hAnsi="Arial" w:cs="Arial"/>
          <w:sz w:val="18"/>
          <w:szCs w:val="18"/>
        </w:rPr>
        <w:t xml:space="preserve">Poszczególne rodzaje materiałów powinny pochodzić ze źródeł zatwierdzonych przez Inspektora Nadzoru. </w:t>
      </w:r>
    </w:p>
    <w:p w14:paraId="00CAAF80" w14:textId="77777777" w:rsidR="00C32A41" w:rsidRDefault="00B721B3">
      <w:pPr>
        <w:suppressAutoHyphens/>
        <w:ind w:firstLine="567"/>
        <w:jc w:val="both"/>
        <w:rPr>
          <w:rFonts w:ascii="Arial" w:hAnsi="Arial" w:cs="Arial"/>
          <w:sz w:val="18"/>
          <w:szCs w:val="18"/>
        </w:rPr>
      </w:pPr>
      <w:r>
        <w:rPr>
          <w:rFonts w:ascii="Arial" w:hAnsi="Arial" w:cs="Arial"/>
          <w:sz w:val="18"/>
          <w:szCs w:val="18"/>
        </w:rPr>
        <w:t>Należy dążyć do zaopatrzenia się w materiały z jednego źródła. W przypadku zmiany pochodzenia materiału należy, po wykonaniu odpowiednich badań, opracować skorygowaną receptę.</w:t>
      </w:r>
    </w:p>
    <w:p w14:paraId="7ABB60BE" w14:textId="77777777" w:rsidR="00C32A41" w:rsidRDefault="00C32A41">
      <w:pPr>
        <w:suppressAutoHyphens/>
        <w:ind w:firstLine="567"/>
        <w:jc w:val="both"/>
        <w:rPr>
          <w:rFonts w:ascii="Arial" w:hAnsi="Arial" w:cs="Arial"/>
          <w:sz w:val="18"/>
          <w:szCs w:val="18"/>
        </w:rPr>
      </w:pPr>
    </w:p>
    <w:p w14:paraId="017B4F6A" w14:textId="77777777" w:rsidR="00C32A41" w:rsidRDefault="00B721B3">
      <w:pPr>
        <w:spacing w:after="60"/>
        <w:jc w:val="both"/>
        <w:rPr>
          <w:rFonts w:ascii="Arial" w:hAnsi="Arial" w:cs="Arial"/>
          <w:b/>
          <w:sz w:val="18"/>
          <w:szCs w:val="18"/>
        </w:rPr>
      </w:pPr>
      <w:r>
        <w:rPr>
          <w:rFonts w:ascii="Arial" w:hAnsi="Arial" w:cs="Arial"/>
          <w:b/>
          <w:sz w:val="18"/>
          <w:szCs w:val="18"/>
        </w:rPr>
        <w:t xml:space="preserve">2.2. Materiały do produkcji mieszanki AC 16 W </w:t>
      </w:r>
    </w:p>
    <w:p w14:paraId="72A2543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produkcji mieszanki betonu asfaltowego AC 16 W należy stosować materiały podane w Tablicy 1.</w:t>
      </w:r>
    </w:p>
    <w:p w14:paraId="5885E9D2"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2467FDE0"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snapToGrid w:val="0"/>
          <w:color w:val="000000"/>
          <w:sz w:val="18"/>
          <w:szCs w:val="18"/>
        </w:rPr>
        <w:t>Tablica 1. Materiały do wykonania warstwy wiążącej z AC 16W KR 1-KR 2.</w:t>
      </w:r>
    </w:p>
    <w:tbl>
      <w:tblPr>
        <w:tblW w:w="8784" w:type="dxa"/>
        <w:jc w:val="center"/>
        <w:tblLook w:val="01E0" w:firstRow="1" w:lastRow="1" w:firstColumn="1" w:lastColumn="1" w:noHBand="0" w:noVBand="0"/>
      </w:tblPr>
      <w:tblGrid>
        <w:gridCol w:w="534"/>
        <w:gridCol w:w="4110"/>
        <w:gridCol w:w="4140"/>
      </w:tblGrid>
      <w:tr w:rsidR="00C32A41" w14:paraId="0ECF0F01" w14:textId="77777777">
        <w:trPr>
          <w:tblHeader/>
          <w:jc w:val="center"/>
        </w:trPr>
        <w:tc>
          <w:tcPr>
            <w:tcW w:w="534" w:type="dxa"/>
            <w:tcBorders>
              <w:top w:val="single" w:sz="4" w:space="0" w:color="auto"/>
              <w:left w:val="single" w:sz="4" w:space="0" w:color="auto"/>
              <w:bottom w:val="single" w:sz="4" w:space="0" w:color="auto"/>
              <w:right w:val="single" w:sz="4" w:space="0" w:color="auto"/>
            </w:tcBorders>
            <w:hideMark/>
          </w:tcPr>
          <w:p w14:paraId="4483330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Borders>
              <w:top w:val="single" w:sz="4" w:space="0" w:color="auto"/>
              <w:left w:val="single" w:sz="4" w:space="0" w:color="auto"/>
              <w:bottom w:val="single" w:sz="4" w:space="0" w:color="auto"/>
              <w:right w:val="single" w:sz="4" w:space="0" w:color="auto"/>
            </w:tcBorders>
            <w:hideMark/>
          </w:tcPr>
          <w:p w14:paraId="78492CF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Materiał</w:t>
            </w:r>
          </w:p>
        </w:tc>
        <w:tc>
          <w:tcPr>
            <w:tcW w:w="4140" w:type="dxa"/>
            <w:tcBorders>
              <w:top w:val="single" w:sz="4" w:space="0" w:color="auto"/>
              <w:left w:val="single" w:sz="4" w:space="0" w:color="auto"/>
              <w:bottom w:val="single" w:sz="4" w:space="0" w:color="auto"/>
              <w:right w:val="single" w:sz="4" w:space="0" w:color="auto"/>
            </w:tcBorders>
            <w:hideMark/>
          </w:tcPr>
          <w:p w14:paraId="2A4E097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Wymagania wg</w:t>
            </w:r>
          </w:p>
        </w:tc>
      </w:tr>
      <w:tr w:rsidR="00C32A41" w14:paraId="135480B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87F3F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4110" w:type="dxa"/>
            <w:tcBorders>
              <w:top w:val="single" w:sz="4" w:space="0" w:color="auto"/>
              <w:left w:val="single" w:sz="4" w:space="0" w:color="auto"/>
              <w:bottom w:val="single" w:sz="4" w:space="0" w:color="auto"/>
              <w:right w:val="single" w:sz="4" w:space="0" w:color="auto"/>
            </w:tcBorders>
            <w:hideMark/>
          </w:tcPr>
          <w:p w14:paraId="04C25C2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grube</w:t>
            </w:r>
          </w:p>
        </w:tc>
        <w:tc>
          <w:tcPr>
            <w:tcW w:w="4140" w:type="dxa"/>
            <w:tcBorders>
              <w:top w:val="single" w:sz="4" w:space="0" w:color="auto"/>
              <w:left w:val="single" w:sz="4" w:space="0" w:color="auto"/>
              <w:bottom w:val="single" w:sz="4" w:space="0" w:color="auto"/>
              <w:right w:val="single" w:sz="4" w:space="0" w:color="auto"/>
            </w:tcBorders>
            <w:hideMark/>
          </w:tcPr>
          <w:p w14:paraId="2F560D9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8.</w:t>
            </w:r>
          </w:p>
        </w:tc>
      </w:tr>
      <w:tr w:rsidR="00C32A41" w14:paraId="65FFF858"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BDB006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Borders>
              <w:top w:val="single" w:sz="4" w:space="0" w:color="auto"/>
              <w:left w:val="single" w:sz="4" w:space="0" w:color="auto"/>
              <w:bottom w:val="single" w:sz="4" w:space="0" w:color="auto"/>
              <w:right w:val="single" w:sz="4" w:space="0" w:color="auto"/>
            </w:tcBorders>
            <w:hideMark/>
          </w:tcPr>
          <w:p w14:paraId="0BAAC53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niełamane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5D5E8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9.</w:t>
            </w:r>
          </w:p>
        </w:tc>
      </w:tr>
      <w:tr w:rsidR="00C32A41" w14:paraId="7D8A3F89"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27E7349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Borders>
              <w:top w:val="single" w:sz="4" w:space="0" w:color="auto"/>
              <w:left w:val="single" w:sz="4" w:space="0" w:color="auto"/>
              <w:bottom w:val="single" w:sz="4" w:space="0" w:color="auto"/>
              <w:right w:val="single" w:sz="4" w:space="0" w:color="auto"/>
            </w:tcBorders>
            <w:hideMark/>
          </w:tcPr>
          <w:p w14:paraId="6BDA53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Kruszywo  łamane drobne lub o ciągłym uziarnieniu D≤8 mm</w:t>
            </w:r>
          </w:p>
        </w:tc>
        <w:tc>
          <w:tcPr>
            <w:tcW w:w="4140" w:type="dxa"/>
            <w:tcBorders>
              <w:top w:val="single" w:sz="4" w:space="0" w:color="auto"/>
              <w:left w:val="single" w:sz="4" w:space="0" w:color="auto"/>
              <w:bottom w:val="single" w:sz="4" w:space="0" w:color="auto"/>
              <w:right w:val="single" w:sz="4" w:space="0" w:color="auto"/>
            </w:tcBorders>
            <w:hideMark/>
          </w:tcPr>
          <w:p w14:paraId="31BEBDF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10.</w:t>
            </w:r>
          </w:p>
        </w:tc>
      </w:tr>
      <w:tr w:rsidR="00C32A41" w14:paraId="76C033DD"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BB45B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Borders>
              <w:top w:val="single" w:sz="4" w:space="0" w:color="auto"/>
              <w:left w:val="single" w:sz="4" w:space="0" w:color="auto"/>
              <w:bottom w:val="single" w:sz="4" w:space="0" w:color="auto"/>
              <w:right w:val="single" w:sz="4" w:space="0" w:color="auto"/>
            </w:tcBorders>
            <w:hideMark/>
          </w:tcPr>
          <w:p w14:paraId="111FDF5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Wypełniacz</w:t>
            </w:r>
          </w:p>
        </w:tc>
        <w:tc>
          <w:tcPr>
            <w:tcW w:w="4140" w:type="dxa"/>
            <w:tcBorders>
              <w:top w:val="single" w:sz="4" w:space="0" w:color="auto"/>
              <w:left w:val="single" w:sz="4" w:space="0" w:color="auto"/>
              <w:bottom w:val="single" w:sz="4" w:space="0" w:color="auto"/>
              <w:right w:val="single" w:sz="4" w:space="0" w:color="auto"/>
            </w:tcBorders>
            <w:hideMark/>
          </w:tcPr>
          <w:p w14:paraId="0EC6ABF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WT-1 2014, Tablica 11.                                         Uziarnienie wypełniacza  Tablica 2. Niniejszej STWiORB</w:t>
            </w:r>
          </w:p>
        </w:tc>
      </w:tr>
      <w:tr w:rsidR="00C32A41" w14:paraId="789D1E36" w14:textId="77777777">
        <w:trPr>
          <w:trHeight w:val="133"/>
          <w:jc w:val="center"/>
        </w:trPr>
        <w:tc>
          <w:tcPr>
            <w:tcW w:w="534" w:type="dxa"/>
            <w:tcBorders>
              <w:top w:val="single" w:sz="4" w:space="0" w:color="auto"/>
              <w:left w:val="single" w:sz="4" w:space="0" w:color="auto"/>
              <w:bottom w:val="single" w:sz="4" w:space="0" w:color="auto"/>
              <w:right w:val="single" w:sz="4" w:space="0" w:color="auto"/>
            </w:tcBorders>
            <w:hideMark/>
          </w:tcPr>
          <w:p w14:paraId="46929F4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5.</w:t>
            </w:r>
          </w:p>
        </w:tc>
        <w:tc>
          <w:tcPr>
            <w:tcW w:w="4110" w:type="dxa"/>
            <w:tcBorders>
              <w:top w:val="single" w:sz="4" w:space="0" w:color="auto"/>
              <w:left w:val="single" w:sz="4" w:space="0" w:color="auto"/>
              <w:bottom w:val="single" w:sz="4" w:space="0" w:color="auto"/>
              <w:right w:val="single" w:sz="4" w:space="0" w:color="auto"/>
            </w:tcBorders>
            <w:hideMark/>
          </w:tcPr>
          <w:p w14:paraId="01F4E8D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Asfalt drogowy                           </w:t>
            </w:r>
          </w:p>
        </w:tc>
        <w:tc>
          <w:tcPr>
            <w:tcW w:w="4140" w:type="dxa"/>
            <w:tcBorders>
              <w:top w:val="single" w:sz="4" w:space="0" w:color="auto"/>
              <w:left w:val="single" w:sz="4" w:space="0" w:color="auto"/>
              <w:bottom w:val="single" w:sz="4" w:space="0" w:color="auto"/>
              <w:right w:val="single" w:sz="4" w:space="0" w:color="auto"/>
            </w:tcBorders>
          </w:tcPr>
          <w:p w14:paraId="2B94701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wg PN-EN 12591                          </w:t>
            </w:r>
          </w:p>
        </w:tc>
      </w:tr>
      <w:tr w:rsidR="00C32A41" w14:paraId="353EDB2F" w14:textId="77777777">
        <w:trPr>
          <w:jc w:val="center"/>
        </w:trPr>
        <w:tc>
          <w:tcPr>
            <w:tcW w:w="534" w:type="dxa"/>
            <w:tcBorders>
              <w:top w:val="single" w:sz="4" w:space="0" w:color="auto"/>
              <w:left w:val="single" w:sz="4" w:space="0" w:color="auto"/>
              <w:bottom w:val="single" w:sz="4" w:space="0" w:color="auto"/>
              <w:right w:val="single" w:sz="4" w:space="0" w:color="auto"/>
            </w:tcBorders>
            <w:hideMark/>
          </w:tcPr>
          <w:p w14:paraId="3E9CF82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4110" w:type="dxa"/>
            <w:tcBorders>
              <w:top w:val="single" w:sz="4" w:space="0" w:color="auto"/>
              <w:left w:val="single" w:sz="4" w:space="0" w:color="auto"/>
              <w:bottom w:val="single" w:sz="4" w:space="0" w:color="auto"/>
              <w:right w:val="single" w:sz="4" w:space="0" w:color="auto"/>
            </w:tcBorders>
            <w:hideMark/>
          </w:tcPr>
          <w:p w14:paraId="26E7BCD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Środek adhezyjny</w:t>
            </w:r>
          </w:p>
        </w:tc>
        <w:tc>
          <w:tcPr>
            <w:tcW w:w="4140" w:type="dxa"/>
            <w:tcBorders>
              <w:top w:val="single" w:sz="4" w:space="0" w:color="auto"/>
              <w:left w:val="single" w:sz="4" w:space="0" w:color="auto"/>
              <w:bottom w:val="single" w:sz="4" w:space="0" w:color="auto"/>
              <w:right w:val="single" w:sz="4" w:space="0" w:color="auto"/>
            </w:tcBorders>
            <w:hideMark/>
          </w:tcPr>
          <w:p w14:paraId="234550F0" w14:textId="77777777" w:rsidR="00C32A41" w:rsidRDefault="00B721B3">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Arial" w:hAnsi="Arial" w:cs="Arial"/>
                <w:sz w:val="18"/>
                <w:szCs w:val="18"/>
              </w:rPr>
            </w:pPr>
            <w:r>
              <w:rPr>
                <w:rFonts w:ascii="Arial" w:hAnsi="Arial" w:cs="Arial"/>
                <w:sz w:val="18"/>
                <w:szCs w:val="18"/>
              </w:rPr>
              <w:t>pkt. 2.3. niniejszej STWiORB</w:t>
            </w:r>
          </w:p>
        </w:tc>
      </w:tr>
    </w:tbl>
    <w:p w14:paraId="476B654D" w14:textId="77777777" w:rsidR="00C32A41" w:rsidRDefault="00C32A41">
      <w:pPr>
        <w:jc w:val="both"/>
        <w:rPr>
          <w:rFonts w:ascii="Arial" w:hAnsi="Arial" w:cs="Arial"/>
          <w:spacing w:val="-3"/>
          <w:sz w:val="18"/>
          <w:szCs w:val="18"/>
        </w:rPr>
      </w:pPr>
    </w:p>
    <w:p w14:paraId="7E1A22E5" w14:textId="77777777" w:rsidR="00C32A41" w:rsidRDefault="00B721B3">
      <w:pPr>
        <w:jc w:val="both"/>
        <w:rPr>
          <w:rFonts w:ascii="Arial" w:hAnsi="Arial" w:cs="Arial"/>
          <w:sz w:val="18"/>
          <w:szCs w:val="18"/>
        </w:rPr>
      </w:pPr>
      <w:r>
        <w:rPr>
          <w:rFonts w:ascii="Arial" w:hAnsi="Arial" w:cs="Arial"/>
          <w:spacing w:val="-3"/>
          <w:sz w:val="18"/>
          <w:szCs w:val="18"/>
        </w:rPr>
        <w:lastRenderedPageBreak/>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4BB9A8EC" w14:textId="77777777" w:rsidR="00C32A41" w:rsidRDefault="00C32A41">
      <w:pPr>
        <w:tabs>
          <w:tab w:val="left" w:pos="0"/>
          <w:tab w:val="right" w:pos="5766"/>
        </w:tabs>
        <w:spacing w:line="240" w:lineRule="atLeast"/>
        <w:jc w:val="both"/>
        <w:rPr>
          <w:rFonts w:ascii="Arial" w:hAnsi="Arial" w:cs="Arial"/>
          <w:spacing w:val="-3"/>
          <w:sz w:val="18"/>
          <w:szCs w:val="18"/>
        </w:rPr>
      </w:pPr>
    </w:p>
    <w:p w14:paraId="2C9237C8" w14:textId="77777777" w:rsidR="00C32A41" w:rsidRDefault="00B721B3">
      <w:pPr>
        <w:tabs>
          <w:tab w:val="left" w:pos="0"/>
          <w:tab w:val="right" w:pos="5766"/>
        </w:tabs>
        <w:spacing w:after="120"/>
        <w:rPr>
          <w:rFonts w:ascii="Arial" w:hAnsi="Arial" w:cs="Arial"/>
          <w:spacing w:val="-3"/>
          <w:sz w:val="18"/>
          <w:szCs w:val="18"/>
          <w:lang w:val="en-GB"/>
        </w:rPr>
      </w:pPr>
      <w:r>
        <w:rPr>
          <w:rFonts w:ascii="Arial" w:hAnsi="Arial" w:cs="Arial"/>
          <w:spacing w:val="-3"/>
          <w:sz w:val="18"/>
          <w:szCs w:val="18"/>
          <w:lang w:val="en-GB"/>
        </w:rPr>
        <w:t xml:space="preserve">Tablica 2. </w:t>
      </w:r>
      <w:proofErr w:type="spellStart"/>
      <w:r>
        <w:rPr>
          <w:rFonts w:ascii="Arial" w:hAnsi="Arial" w:cs="Arial"/>
          <w:spacing w:val="-3"/>
          <w:sz w:val="18"/>
          <w:szCs w:val="18"/>
          <w:lang w:val="en-GB"/>
        </w:rPr>
        <w:t>Uziarnienie</w:t>
      </w:r>
      <w:proofErr w:type="spellEnd"/>
      <w:r>
        <w:rPr>
          <w:rFonts w:ascii="Arial" w:hAnsi="Arial" w:cs="Arial"/>
          <w:spacing w:val="-3"/>
          <w:sz w:val="18"/>
          <w:szCs w:val="18"/>
          <w:lang w:val="en-GB"/>
        </w:rPr>
        <w:t xml:space="preserve"> </w:t>
      </w:r>
      <w:proofErr w:type="spellStart"/>
      <w:r>
        <w:rPr>
          <w:rFonts w:ascii="Arial" w:hAnsi="Arial" w:cs="Arial"/>
          <w:spacing w:val="-3"/>
          <w:sz w:val="18"/>
          <w:szCs w:val="18"/>
          <w:lang w:val="en-GB"/>
        </w:rPr>
        <w:t>wypełniacza</w:t>
      </w:r>
      <w:proofErr w:type="spellEnd"/>
      <w:r>
        <w:rPr>
          <w:rFonts w:ascii="Arial" w:hAnsi="Arial" w:cs="Arial"/>
          <w:spacing w:val="-3"/>
          <w:sz w:val="18"/>
          <w:szCs w:val="18"/>
          <w:lang w:val="en-GB"/>
        </w:rPr>
        <w:t>.</w:t>
      </w:r>
    </w:p>
    <w:tbl>
      <w:tblPr>
        <w:tblW w:w="0" w:type="auto"/>
        <w:jc w:val="center"/>
        <w:tblLook w:val="01E0" w:firstRow="1" w:lastRow="1" w:firstColumn="1" w:lastColumn="1" w:noHBand="0" w:noVBand="0"/>
      </w:tblPr>
      <w:tblGrid>
        <w:gridCol w:w="925"/>
        <w:gridCol w:w="3969"/>
        <w:gridCol w:w="3261"/>
      </w:tblGrid>
      <w:tr w:rsidR="00C32A41" w14:paraId="69DBBC62" w14:textId="77777777">
        <w:trPr>
          <w:jc w:val="center"/>
        </w:trPr>
        <w:tc>
          <w:tcPr>
            <w:tcW w:w="925" w:type="dxa"/>
            <w:vMerge w:val="restart"/>
            <w:tcBorders>
              <w:top w:val="single" w:sz="4" w:space="0" w:color="auto"/>
              <w:left w:val="single" w:sz="4" w:space="0" w:color="auto"/>
              <w:right w:val="single" w:sz="4" w:space="0" w:color="auto"/>
            </w:tcBorders>
            <w:hideMark/>
          </w:tcPr>
          <w:p w14:paraId="0072C987"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Sito          #,[mm]</w:t>
            </w:r>
          </w:p>
        </w:tc>
        <w:tc>
          <w:tcPr>
            <w:tcW w:w="7230" w:type="dxa"/>
            <w:gridSpan w:val="2"/>
            <w:tcBorders>
              <w:top w:val="single" w:sz="4" w:space="0" w:color="auto"/>
              <w:left w:val="single" w:sz="4" w:space="0" w:color="auto"/>
              <w:bottom w:val="single" w:sz="4" w:space="0" w:color="auto"/>
              <w:right w:val="single" w:sz="4" w:space="0" w:color="auto"/>
            </w:tcBorders>
            <w:hideMark/>
          </w:tcPr>
          <w:p w14:paraId="4EA9F9AA" w14:textId="77777777" w:rsidR="00C32A41" w:rsidRDefault="00B721B3">
            <w:pPr>
              <w:tabs>
                <w:tab w:val="left" w:pos="0"/>
                <w:tab w:val="right" w:pos="5766"/>
              </w:tabs>
              <w:spacing w:line="240" w:lineRule="atLeast"/>
              <w:ind w:right="-923"/>
              <w:jc w:val="center"/>
              <w:rPr>
                <w:rFonts w:ascii="Arial" w:hAnsi="Arial" w:cs="Arial"/>
                <w:spacing w:val="-3"/>
                <w:sz w:val="18"/>
                <w:szCs w:val="18"/>
                <w:lang w:val="en-GB"/>
              </w:rPr>
            </w:pPr>
            <w:r>
              <w:rPr>
                <w:rFonts w:ascii="Arial" w:hAnsi="Arial" w:cs="Arial"/>
                <w:spacing w:val="-3"/>
                <w:sz w:val="18"/>
                <w:szCs w:val="18"/>
                <w:lang w:val="en-GB"/>
              </w:rPr>
              <w:t>Przesiew [ %(m/m)]</w:t>
            </w:r>
          </w:p>
        </w:tc>
      </w:tr>
      <w:tr w:rsidR="00C32A41" w14:paraId="5327246E" w14:textId="77777777">
        <w:trPr>
          <w:jc w:val="center"/>
        </w:trPr>
        <w:tc>
          <w:tcPr>
            <w:tcW w:w="925" w:type="dxa"/>
            <w:vMerge/>
            <w:tcBorders>
              <w:left w:val="single" w:sz="4" w:space="0" w:color="auto"/>
              <w:bottom w:val="single" w:sz="4" w:space="0" w:color="auto"/>
              <w:right w:val="single" w:sz="4" w:space="0" w:color="auto"/>
            </w:tcBorders>
            <w:hideMark/>
          </w:tcPr>
          <w:p w14:paraId="2DD6E7CD" w14:textId="77777777" w:rsidR="00C32A41" w:rsidRDefault="00C32A41">
            <w:pPr>
              <w:tabs>
                <w:tab w:val="left" w:pos="0"/>
                <w:tab w:val="right" w:pos="5766"/>
              </w:tabs>
              <w:spacing w:line="240" w:lineRule="atLeast"/>
              <w:jc w:val="both"/>
              <w:rPr>
                <w:rFonts w:ascii="Arial" w:hAnsi="Arial" w:cs="Arial"/>
                <w:spacing w:val="-3"/>
                <w:sz w:val="18"/>
                <w:szCs w:val="18"/>
                <w:lang w:val="en-GB"/>
              </w:rPr>
            </w:pPr>
          </w:p>
        </w:tc>
        <w:tc>
          <w:tcPr>
            <w:tcW w:w="3969" w:type="dxa"/>
            <w:tcBorders>
              <w:top w:val="single" w:sz="4" w:space="0" w:color="auto"/>
              <w:left w:val="single" w:sz="4" w:space="0" w:color="auto"/>
              <w:bottom w:val="single" w:sz="4" w:space="0" w:color="auto"/>
              <w:right w:val="single" w:sz="4" w:space="0" w:color="auto"/>
            </w:tcBorders>
            <w:hideMark/>
          </w:tcPr>
          <w:p w14:paraId="2887620A"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Ogólny zakres</w:t>
            </w:r>
          </w:p>
          <w:p w14:paraId="6CC8E6CE" w14:textId="77777777" w:rsidR="00C32A41" w:rsidRDefault="00B721B3">
            <w:pPr>
              <w:tabs>
                <w:tab w:val="left" w:pos="0"/>
                <w:tab w:val="right" w:pos="5766"/>
              </w:tabs>
              <w:spacing w:line="240" w:lineRule="atLeast"/>
              <w:jc w:val="center"/>
              <w:rPr>
                <w:rFonts w:ascii="Arial" w:hAnsi="Arial" w:cs="Arial"/>
                <w:spacing w:val="-3"/>
                <w:sz w:val="18"/>
                <w:szCs w:val="18"/>
              </w:rPr>
            </w:pPr>
            <w:r>
              <w:rPr>
                <w:rFonts w:ascii="Arial" w:hAnsi="Arial" w:cs="Arial"/>
                <w:spacing w:val="-3"/>
                <w:sz w:val="18"/>
                <w:szCs w:val="18"/>
              </w:rPr>
              <w:t>dla poszczególnych wyników</w:t>
            </w:r>
          </w:p>
        </w:tc>
        <w:tc>
          <w:tcPr>
            <w:tcW w:w="3261" w:type="dxa"/>
            <w:tcBorders>
              <w:top w:val="single" w:sz="4" w:space="0" w:color="auto"/>
              <w:left w:val="single" w:sz="4" w:space="0" w:color="auto"/>
              <w:bottom w:val="single" w:sz="4" w:space="0" w:color="auto"/>
              <w:right w:val="single" w:sz="4" w:space="0" w:color="auto"/>
            </w:tcBorders>
            <w:hideMark/>
          </w:tcPr>
          <w:p w14:paraId="724B707B" w14:textId="77777777" w:rsidR="00C32A41" w:rsidRDefault="00B721B3">
            <w:pPr>
              <w:tabs>
                <w:tab w:val="left" w:pos="0"/>
                <w:tab w:val="right" w:pos="5766"/>
              </w:tabs>
              <w:spacing w:line="240" w:lineRule="atLeast"/>
              <w:jc w:val="center"/>
              <w:rPr>
                <w:rFonts w:ascii="Arial" w:hAnsi="Arial" w:cs="Arial"/>
                <w:spacing w:val="-3"/>
                <w:sz w:val="18"/>
                <w:szCs w:val="18"/>
                <w:vertAlign w:val="superscript"/>
              </w:rPr>
            </w:pPr>
            <w:r>
              <w:rPr>
                <w:rFonts w:ascii="Arial" w:hAnsi="Arial" w:cs="Arial"/>
                <w:spacing w:val="-3"/>
                <w:sz w:val="18"/>
                <w:szCs w:val="18"/>
              </w:rPr>
              <w:t xml:space="preserve">Maksymalny zakres uziarnienia deklarowany przez producenta </w:t>
            </w:r>
            <w:r>
              <w:rPr>
                <w:rFonts w:ascii="Arial" w:hAnsi="Arial" w:cs="Arial"/>
                <w:spacing w:val="-3"/>
                <w:sz w:val="18"/>
                <w:szCs w:val="18"/>
                <w:vertAlign w:val="superscript"/>
              </w:rPr>
              <w:t>a)</w:t>
            </w:r>
          </w:p>
        </w:tc>
      </w:tr>
      <w:tr w:rsidR="00C32A41" w14:paraId="445C6C88" w14:textId="77777777">
        <w:trPr>
          <w:jc w:val="center"/>
        </w:trPr>
        <w:tc>
          <w:tcPr>
            <w:tcW w:w="925" w:type="dxa"/>
            <w:tcBorders>
              <w:top w:val="single" w:sz="4" w:space="0" w:color="auto"/>
              <w:left w:val="single" w:sz="4" w:space="0" w:color="auto"/>
              <w:bottom w:val="single" w:sz="4" w:space="0" w:color="auto"/>
              <w:right w:val="single" w:sz="4" w:space="0" w:color="auto"/>
            </w:tcBorders>
            <w:hideMark/>
          </w:tcPr>
          <w:p w14:paraId="1FAD72A5"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2  0,125  0,063</w:t>
            </w:r>
          </w:p>
        </w:tc>
        <w:tc>
          <w:tcPr>
            <w:tcW w:w="3969" w:type="dxa"/>
            <w:tcBorders>
              <w:top w:val="single" w:sz="4" w:space="0" w:color="auto"/>
              <w:left w:val="single" w:sz="4" w:space="0" w:color="auto"/>
              <w:bottom w:val="single" w:sz="4" w:space="0" w:color="auto"/>
              <w:right w:val="single" w:sz="4" w:space="0" w:color="auto"/>
            </w:tcBorders>
            <w:hideMark/>
          </w:tcPr>
          <w:p w14:paraId="5C13DFE2"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spacing w:val="-3"/>
                <w:sz w:val="18"/>
                <w:szCs w:val="18"/>
                <w:lang w:val="en-GB"/>
              </w:rPr>
              <w:t>100                               od 85 do 100                                           od 70 do 100</w:t>
            </w:r>
          </w:p>
        </w:tc>
        <w:tc>
          <w:tcPr>
            <w:tcW w:w="3261" w:type="dxa"/>
            <w:tcBorders>
              <w:top w:val="single" w:sz="4" w:space="0" w:color="auto"/>
              <w:left w:val="single" w:sz="4" w:space="0" w:color="auto"/>
              <w:bottom w:val="single" w:sz="4" w:space="0" w:color="auto"/>
              <w:right w:val="single" w:sz="4" w:space="0" w:color="auto"/>
            </w:tcBorders>
            <w:hideMark/>
          </w:tcPr>
          <w:p w14:paraId="0180C6EF" w14:textId="77777777" w:rsidR="00C32A41" w:rsidRDefault="00B721B3">
            <w:pPr>
              <w:tabs>
                <w:tab w:val="left" w:pos="0"/>
                <w:tab w:val="right" w:pos="5766"/>
              </w:tabs>
              <w:spacing w:line="240" w:lineRule="atLeast"/>
              <w:jc w:val="center"/>
              <w:rPr>
                <w:rFonts w:ascii="Arial" w:hAnsi="Arial" w:cs="Arial"/>
                <w:spacing w:val="-3"/>
                <w:sz w:val="18"/>
                <w:szCs w:val="18"/>
                <w:lang w:val="en-GB"/>
              </w:rPr>
            </w:pPr>
            <w:r>
              <w:rPr>
                <w:rFonts w:ascii="Arial" w:hAnsi="Arial" w:cs="Arial"/>
                <w:i/>
                <w:sz w:val="18"/>
                <w:szCs w:val="18"/>
                <w:lang w:val="en-GB"/>
              </w:rPr>
              <w:t xml:space="preserve">-                                               </w:t>
            </w:r>
            <w:r>
              <w:rPr>
                <w:rFonts w:ascii="Arial" w:hAnsi="Arial" w:cs="Arial"/>
                <w:sz w:val="18"/>
                <w:szCs w:val="18"/>
                <w:lang w:val="en-GB"/>
              </w:rPr>
              <w:t>10                                            10</w:t>
            </w:r>
          </w:p>
        </w:tc>
      </w:tr>
      <w:tr w:rsidR="00C32A41" w14:paraId="60125636" w14:textId="77777777">
        <w:trPr>
          <w:jc w:val="center"/>
        </w:trPr>
        <w:tc>
          <w:tcPr>
            <w:tcW w:w="8155" w:type="dxa"/>
            <w:gridSpan w:val="3"/>
            <w:tcBorders>
              <w:top w:val="single" w:sz="4" w:space="0" w:color="auto"/>
              <w:left w:val="single" w:sz="4" w:space="0" w:color="auto"/>
              <w:bottom w:val="single" w:sz="4" w:space="0" w:color="auto"/>
              <w:right w:val="single" w:sz="4" w:space="0" w:color="auto"/>
            </w:tcBorders>
            <w:hideMark/>
          </w:tcPr>
          <w:p w14:paraId="28BC6F9B" w14:textId="77777777" w:rsidR="00C32A41" w:rsidRDefault="00B721B3">
            <w:pPr>
              <w:tabs>
                <w:tab w:val="left" w:pos="0"/>
                <w:tab w:val="right" w:pos="5766"/>
              </w:tabs>
              <w:spacing w:line="240" w:lineRule="atLeast"/>
              <w:rPr>
                <w:rFonts w:ascii="Arial" w:hAnsi="Arial" w:cs="Arial"/>
                <w:spacing w:val="-3"/>
                <w:sz w:val="18"/>
                <w:szCs w:val="18"/>
              </w:rPr>
            </w:pPr>
            <w:r>
              <w:rPr>
                <w:rFonts w:ascii="Arial" w:hAnsi="Arial" w:cs="Arial"/>
                <w:spacing w:val="-3"/>
                <w:sz w:val="18"/>
                <w:szCs w:val="18"/>
                <w:vertAlign w:val="superscript"/>
              </w:rPr>
              <w:t>a)</w:t>
            </w:r>
            <w:r>
              <w:rPr>
                <w:rFonts w:ascii="Arial" w:hAnsi="Arial" w:cs="Arial"/>
                <w:spacing w:val="-3"/>
                <w:sz w:val="18"/>
                <w:szCs w:val="18"/>
              </w:rPr>
              <w:t>Zakres uziarnienia powinien być deklarowany na podstawie ostatnich 20 wyników z których 90% powinno się mieścić w tym zakresie, a wszystkie powinny się mieścić w ogólnym zakresie podanym w tej tablicy</w:t>
            </w:r>
          </w:p>
        </w:tc>
      </w:tr>
    </w:tbl>
    <w:p w14:paraId="3A824BB4" w14:textId="77777777" w:rsidR="00C32A41" w:rsidRDefault="00C32A41">
      <w:pPr>
        <w:tabs>
          <w:tab w:val="left" w:pos="1008"/>
          <w:tab w:val="left" w:pos="7459"/>
        </w:tabs>
        <w:rPr>
          <w:rFonts w:ascii="Arial" w:hAnsi="Arial" w:cs="Arial"/>
          <w:snapToGrid w:val="0"/>
          <w:color w:val="000000"/>
          <w:sz w:val="18"/>
          <w:szCs w:val="18"/>
        </w:rPr>
      </w:pPr>
    </w:p>
    <w:p w14:paraId="339F1C6C" w14:textId="77777777" w:rsidR="00C32A41" w:rsidRDefault="00B721B3">
      <w:pPr>
        <w:suppressAutoHyphens/>
        <w:spacing w:after="60"/>
        <w:rPr>
          <w:rFonts w:ascii="Arial" w:hAnsi="Arial" w:cs="Arial"/>
          <w:spacing w:val="-3"/>
          <w:sz w:val="18"/>
          <w:szCs w:val="18"/>
        </w:rPr>
      </w:pPr>
      <w:r>
        <w:rPr>
          <w:rFonts w:ascii="Arial" w:hAnsi="Arial" w:cs="Arial"/>
          <w:b/>
          <w:spacing w:val="-3"/>
          <w:sz w:val="18"/>
          <w:szCs w:val="18"/>
        </w:rPr>
        <w:t>2.3. Środek adhezyjny</w:t>
      </w:r>
    </w:p>
    <w:p w14:paraId="7A122184"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W celu poprawy przyczepności lepiszcza asfaltowego do kruszywa, należy dobrać i stosować odpowiedni środek adhezyjny, tak aby dla konkretnej pary kruszywo-lepiszcze wartość przyczepności określona wg PN EN 12697-11, metoda A, po 6h obracania , stosując kruszywo 8/11 jako podstawowe (dopuszcza się inne wymiary w wypadku braku wymiaru podstawowego do tego badania) wynosiła co najmniej 80%.</w:t>
      </w:r>
    </w:p>
    <w:p w14:paraId="249CAD55"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Ilość środka adhezyjnego powinna być udokumentowana i określona w recepcie.</w:t>
      </w:r>
    </w:p>
    <w:p w14:paraId="29B24A68" w14:textId="77777777" w:rsidR="00C32A41" w:rsidRDefault="00B721B3">
      <w:pPr>
        <w:tabs>
          <w:tab w:val="left" w:pos="0"/>
          <w:tab w:val="right" w:pos="5766"/>
        </w:tabs>
        <w:ind w:firstLine="567"/>
        <w:jc w:val="both"/>
        <w:rPr>
          <w:rFonts w:ascii="Arial" w:hAnsi="Arial" w:cs="Arial"/>
          <w:spacing w:val="-3"/>
          <w:sz w:val="18"/>
          <w:szCs w:val="18"/>
        </w:rPr>
      </w:pPr>
      <w:r>
        <w:rPr>
          <w:rFonts w:ascii="Arial" w:hAnsi="Arial" w:cs="Arial"/>
          <w:spacing w:val="-3"/>
          <w:sz w:val="18"/>
          <w:szCs w:val="18"/>
        </w:rPr>
        <w:t>Przydatność środka adhezyjnego do zastosowania do mieszanek mineralno-asfaltowych powinna być udokumentowana. Powinien on być składowany i stosowany  zgodnie  z zaleceniami producenta.</w:t>
      </w:r>
    </w:p>
    <w:p w14:paraId="37DD37EC" w14:textId="77777777" w:rsidR="00C32A41" w:rsidRDefault="00C32A41">
      <w:pPr>
        <w:tabs>
          <w:tab w:val="left" w:pos="0"/>
          <w:tab w:val="right" w:pos="5766"/>
        </w:tabs>
        <w:ind w:firstLine="567"/>
        <w:jc w:val="both"/>
        <w:rPr>
          <w:rFonts w:ascii="Arial" w:hAnsi="Arial" w:cs="Arial"/>
          <w:spacing w:val="-3"/>
          <w:sz w:val="18"/>
          <w:szCs w:val="18"/>
        </w:rPr>
      </w:pPr>
    </w:p>
    <w:p w14:paraId="3CB71ECB"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2.4. Materiały do uszczelnienia krawędzi i połączeń</w:t>
      </w:r>
    </w:p>
    <w:p w14:paraId="58252537"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 xml:space="preserve">Do uszczelnienia krawędzi warstwy asfaltowej należy stosować gorący asfalt, np. taki jak użyty do produkcji mieszanki mineralno-asfaltowej.                                                                                                                 </w:t>
      </w:r>
    </w:p>
    <w:p w14:paraId="24119629"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spełniające wymagania WT-2 cz. II 2016 Tabela 10.</w:t>
      </w:r>
    </w:p>
    <w:p w14:paraId="51BA5AF1"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Do wykonania spoin między fragmentami zagęszczonej mieszanki mineralno-asfaltowej i elementami wyposażenia drogi należy stosować elastyczne taśmy bitumiczne lub pasty asfaltowe, spełniające wymagania WT-2 cz. II 2016 Tabele 10, 11 i 12.</w:t>
      </w:r>
    </w:p>
    <w:p w14:paraId="753FA44B" w14:textId="77777777" w:rsidR="00C32A41" w:rsidRDefault="00B721B3">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258EBBCC" w14:textId="77777777" w:rsidR="00C32A41" w:rsidRDefault="00C32A41">
      <w:pPr>
        <w:tabs>
          <w:tab w:val="left" w:pos="1134"/>
        </w:tabs>
        <w:ind w:firstLine="567"/>
        <w:jc w:val="both"/>
        <w:rPr>
          <w:rFonts w:ascii="Arial" w:hAnsi="Arial" w:cs="Arial"/>
          <w:spacing w:val="-3"/>
          <w:sz w:val="18"/>
          <w:szCs w:val="18"/>
        </w:rPr>
      </w:pPr>
    </w:p>
    <w:p w14:paraId="6FC73FF9" w14:textId="77777777" w:rsidR="00C32A41" w:rsidRDefault="00B721B3">
      <w:pPr>
        <w:tabs>
          <w:tab w:val="left" w:pos="0"/>
          <w:tab w:val="right" w:pos="5766"/>
        </w:tabs>
        <w:suppressAutoHyphens/>
        <w:spacing w:after="60"/>
        <w:rPr>
          <w:rFonts w:ascii="Arial" w:hAnsi="Arial" w:cs="Arial"/>
          <w:spacing w:val="-3"/>
          <w:sz w:val="18"/>
          <w:szCs w:val="18"/>
        </w:rPr>
      </w:pPr>
      <w:r>
        <w:rPr>
          <w:rFonts w:ascii="Arial" w:hAnsi="Arial" w:cs="Arial"/>
          <w:b/>
          <w:spacing w:val="-3"/>
          <w:sz w:val="18"/>
          <w:szCs w:val="18"/>
        </w:rPr>
        <w:t xml:space="preserve">2.5. Materiały do skropienia podłoża </w:t>
      </w:r>
    </w:p>
    <w:p w14:paraId="49EE1C8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pacing w:val="-3"/>
          <w:sz w:val="18"/>
          <w:szCs w:val="18"/>
        </w:rPr>
        <w:t xml:space="preserve">Skropienie podłoża należy wykonać zgodnie z STWiORB D-04.03.01. </w:t>
      </w:r>
      <w:r>
        <w:rPr>
          <w:rFonts w:ascii="Arial" w:hAnsi="Arial" w:cs="Arial"/>
          <w:snapToGrid w:val="0"/>
          <w:color w:val="000000"/>
          <w:sz w:val="18"/>
          <w:szCs w:val="18"/>
        </w:rPr>
        <w:t>Oczyszczenie i skropienie warstw konstrukcyjnych.</w:t>
      </w:r>
    </w:p>
    <w:p w14:paraId="4EC8742D"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B1DD117"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2.6. Dostawy materiałów</w:t>
      </w:r>
    </w:p>
    <w:p w14:paraId="41EB4B07"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 dostawy materiałów odpowiedzialny jest Wykonawca robót zgodnie z ustaleniami określonymi w STWiORB D.M-00.00.00 „Wymagania ogólne”. </w:t>
      </w:r>
    </w:p>
    <w:p w14:paraId="7AAA262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obowiązku Wykonawcy należy takie zorganizowanie dostaw materiałów do wytwarzania mieszanki AC 16 W, aby zapewnić zapas materiałów kruszywowych na całe zadanie.</w:t>
      </w:r>
    </w:p>
    <w:p w14:paraId="6C85B0F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5FE363B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Wykonawca musi deklarować przydatność wszystkich materiałów budowlanych stosowanych do wykonania nawierzchni asfaltowej. Odbywa się to poprzez:</w:t>
      </w:r>
    </w:p>
    <w:p w14:paraId="3175A89E"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wykazanie informacji zawartych w badaniu typu wymaganym w odpowiednim dokumencie wyrobu (normy wyrobu, aprobaty techniczne),</w:t>
      </w:r>
    </w:p>
    <w:p w14:paraId="09D28B45"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deklarowanie przydatności materiału do przewidywanego celu,</w:t>
      </w:r>
    </w:p>
    <w:p w14:paraId="6D358FAF" w14:textId="77777777" w:rsidR="00C32A41" w:rsidRDefault="00B721B3">
      <w:pPr>
        <w:numPr>
          <w:ilvl w:val="0"/>
          <w:numId w:val="12"/>
        </w:numPr>
        <w:ind w:left="284" w:hanging="284"/>
        <w:jc w:val="both"/>
        <w:rPr>
          <w:rFonts w:ascii="Arial" w:hAnsi="Arial" w:cs="Arial"/>
          <w:sz w:val="18"/>
          <w:szCs w:val="18"/>
        </w:rPr>
      </w:pPr>
      <w:r>
        <w:rPr>
          <w:rFonts w:ascii="Arial" w:hAnsi="Arial" w:cs="Arial"/>
          <w:sz w:val="18"/>
          <w:szCs w:val="18"/>
        </w:rPr>
        <w:t xml:space="preserve">ewentualne dodatkowe informacje wymagane w </w:t>
      </w:r>
      <w:r>
        <w:rPr>
          <w:rFonts w:ascii="Arial" w:hAnsi="Arial" w:cs="Arial"/>
          <w:snapToGrid w:val="0"/>
          <w:sz w:val="18"/>
          <w:szCs w:val="18"/>
        </w:rPr>
        <w:t>dokumentacji projektowej</w:t>
      </w:r>
      <w:r>
        <w:rPr>
          <w:rFonts w:ascii="Arial" w:hAnsi="Arial" w:cs="Arial"/>
          <w:sz w:val="18"/>
          <w:szCs w:val="18"/>
        </w:rPr>
        <w:t>.</w:t>
      </w:r>
    </w:p>
    <w:p w14:paraId="3AD6209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 wypadku zmiany rodzaju i właściwości materiałów budowlanych należy ponownie wykazać ich przydatność do przewidywanego celu.</w:t>
      </w:r>
    </w:p>
    <w:p w14:paraId="43AC150C"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3BB033F1" w14:textId="77777777" w:rsidR="00C32A41" w:rsidRDefault="00B721B3">
      <w:pPr>
        <w:tabs>
          <w:tab w:val="left" w:pos="1008"/>
          <w:tab w:val="left" w:pos="7459"/>
        </w:tabs>
        <w:suppressAutoHyphens/>
        <w:spacing w:after="60"/>
        <w:rPr>
          <w:rFonts w:ascii="Arial" w:hAnsi="Arial" w:cs="Arial"/>
          <w:snapToGrid w:val="0"/>
          <w:color w:val="000000"/>
          <w:sz w:val="18"/>
          <w:szCs w:val="18"/>
        </w:rPr>
      </w:pPr>
      <w:r>
        <w:rPr>
          <w:rFonts w:ascii="Arial" w:hAnsi="Arial" w:cs="Arial"/>
          <w:b/>
          <w:snapToGrid w:val="0"/>
          <w:color w:val="000000"/>
          <w:sz w:val="18"/>
          <w:szCs w:val="18"/>
        </w:rPr>
        <w:t>2.7. Składowanie materiałów</w:t>
      </w:r>
    </w:p>
    <w:p w14:paraId="71C5826F"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2.7.1. Składowanie kruszywa</w:t>
      </w:r>
    </w:p>
    <w:p w14:paraId="4129CD0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Składowanie kruszywa powinno odbywać się w warunkach zabezpieczających je przed zanieczyszczeniem i zmieszaniem z innymi rodzajami lub frakcjami kruszywa. </w:t>
      </w:r>
    </w:p>
    <w:p w14:paraId="7BAAF37B" w14:textId="77777777" w:rsidR="00C32A41" w:rsidRDefault="00C32A41">
      <w:pPr>
        <w:tabs>
          <w:tab w:val="left" w:pos="1008"/>
          <w:tab w:val="left" w:pos="7459"/>
        </w:tabs>
        <w:rPr>
          <w:rFonts w:ascii="Arial" w:hAnsi="Arial" w:cs="Arial"/>
          <w:b/>
          <w:snapToGrid w:val="0"/>
          <w:color w:val="000000"/>
          <w:sz w:val="18"/>
          <w:szCs w:val="18"/>
        </w:rPr>
      </w:pPr>
    </w:p>
    <w:p w14:paraId="684BBE8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2.7.2. Składowanie wypełniacza</w:t>
      </w:r>
    </w:p>
    <w:p w14:paraId="3CD8286A"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Wypełniacz należy składować w silosach wyposażonych w urządzenia do aeracji.</w:t>
      </w:r>
    </w:p>
    <w:p w14:paraId="4B934446" w14:textId="77777777" w:rsidR="00C32A41" w:rsidRDefault="00C32A41">
      <w:pPr>
        <w:tabs>
          <w:tab w:val="left" w:pos="1008"/>
          <w:tab w:val="left" w:pos="7459"/>
        </w:tabs>
        <w:rPr>
          <w:rFonts w:ascii="Arial" w:hAnsi="Arial" w:cs="Arial"/>
          <w:snapToGrid w:val="0"/>
          <w:color w:val="000000"/>
          <w:sz w:val="18"/>
          <w:szCs w:val="18"/>
        </w:rPr>
      </w:pPr>
    </w:p>
    <w:p w14:paraId="6BAEFC2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b/>
          <w:snapToGrid w:val="0"/>
          <w:color w:val="000000"/>
          <w:sz w:val="18"/>
          <w:szCs w:val="18"/>
        </w:rPr>
        <w:lastRenderedPageBreak/>
        <w:t>2.7.3. Składowanie asfaltu</w:t>
      </w:r>
    </w:p>
    <w:p w14:paraId="330B81D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Asfalt powinien być składowany w zbiornikach, których konstrukcja i użyte do ich wykonania materiały wykluczają możliwość zanieczyszczenia asfaltu. </w:t>
      </w:r>
    </w:p>
    <w:p w14:paraId="5B81C92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Zbiorniki powinny być wyposażone w automatycznie sterowane urządzenia grzewcze  - olejowe, parowe lub elektryczne. </w:t>
      </w:r>
    </w:p>
    <w:p w14:paraId="1D0E12F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Nie dopuszcza się ogrzewania asfaltu otwartym ogniem.</w:t>
      </w:r>
    </w:p>
    <w:p w14:paraId="3FFB547E"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 Zbiornik roboczy otaczarki powinien być izolowany termicznie, posiadać automatyczny system grzewczy zdolny do utrzymania zadanej temperatury z tolerancją ± 5</w:t>
      </w:r>
      <w:r>
        <w:rPr>
          <w:rFonts w:ascii="Arial" w:hAnsi="Arial" w:cs="Arial"/>
          <w:snapToGrid w:val="0"/>
          <w:color w:val="000000"/>
          <w:sz w:val="18"/>
          <w:szCs w:val="18"/>
          <w:vertAlign w:val="superscript"/>
        </w:rPr>
        <w:t>o</w:t>
      </w:r>
      <w:r>
        <w:rPr>
          <w:rFonts w:ascii="Arial" w:hAnsi="Arial" w:cs="Arial"/>
          <w:snapToGrid w:val="0"/>
          <w:color w:val="000000"/>
          <w:sz w:val="18"/>
          <w:szCs w:val="18"/>
        </w:rPr>
        <w:t xml:space="preserve">C oraz posiadać układ cyrkulacji asfaltu. </w:t>
      </w:r>
    </w:p>
    <w:p w14:paraId="27E544C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Wylot rury powrotnej powinien znajdować się  w zbiorniku poniżej zwierciadła gorącego asfaltu. </w:t>
      </w:r>
    </w:p>
    <w:p w14:paraId="218C92C9" w14:textId="77777777" w:rsidR="00C32A41" w:rsidRDefault="00C32A41">
      <w:pPr>
        <w:tabs>
          <w:tab w:val="left" w:pos="1008"/>
          <w:tab w:val="left" w:pos="7459"/>
        </w:tabs>
        <w:jc w:val="both"/>
        <w:rPr>
          <w:rFonts w:ascii="Arial" w:hAnsi="Arial" w:cs="Arial"/>
          <w:snapToGrid w:val="0"/>
          <w:color w:val="000000"/>
          <w:sz w:val="18"/>
          <w:szCs w:val="18"/>
        </w:rPr>
      </w:pPr>
    </w:p>
    <w:p w14:paraId="28E7F29A" w14:textId="77777777" w:rsidR="00C32A41" w:rsidRDefault="00B721B3">
      <w:pPr>
        <w:numPr>
          <w:ilvl w:val="12"/>
          <w:numId w:val="0"/>
        </w:num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2.7.4. Składowanie emulsji</w:t>
      </w:r>
    </w:p>
    <w:p w14:paraId="6552BFA8" w14:textId="77777777" w:rsidR="00C32A41" w:rsidRDefault="00B721B3">
      <w:pPr>
        <w:numPr>
          <w:ilvl w:val="12"/>
          <w:numId w:val="0"/>
        </w:num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Warunki przechowywania emulsji nie mogą powodować utraty jej cech i obniżenia jakości. Przechowywanie i transport emulsji powinien być zgodny z zaleceniami producenta. </w:t>
      </w:r>
    </w:p>
    <w:p w14:paraId="328F7556" w14:textId="77777777" w:rsidR="00C32A41" w:rsidRDefault="00C32A41">
      <w:pPr>
        <w:tabs>
          <w:tab w:val="left" w:pos="0"/>
          <w:tab w:val="right" w:pos="8809"/>
        </w:tabs>
        <w:jc w:val="both"/>
        <w:rPr>
          <w:rFonts w:ascii="Arial" w:hAnsi="Arial" w:cs="Arial"/>
          <w:b/>
          <w:sz w:val="18"/>
          <w:szCs w:val="18"/>
        </w:rPr>
      </w:pPr>
    </w:p>
    <w:p w14:paraId="44952DE6" w14:textId="77777777" w:rsidR="00C32A41" w:rsidRDefault="00C32A41">
      <w:pPr>
        <w:tabs>
          <w:tab w:val="left" w:pos="0"/>
          <w:tab w:val="right" w:pos="8809"/>
        </w:tabs>
        <w:jc w:val="both"/>
        <w:rPr>
          <w:rFonts w:ascii="Arial" w:hAnsi="Arial" w:cs="Arial"/>
          <w:b/>
          <w:sz w:val="18"/>
          <w:szCs w:val="18"/>
        </w:rPr>
      </w:pPr>
    </w:p>
    <w:p w14:paraId="2A0E99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3. SPRZĘT</w:t>
      </w:r>
    </w:p>
    <w:p w14:paraId="0D1973FB"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3.1. Wymagania ogólne dotyczące sprzętu</w:t>
      </w:r>
    </w:p>
    <w:p w14:paraId="24832E3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Wymagania ogólne dotyczące sprzętu podano w STWiORB D-M-00.00.00. „Wymagania ogólne" pkt.3.2. Wykonawca przystępujący do wykonania warstwy wiążącej z AC 16 W powinien wykazać się możliwością korzystania z następującego sprzętu:</w:t>
      </w:r>
    </w:p>
    <w:p w14:paraId="5790B923" w14:textId="77777777" w:rsidR="00C32A41" w:rsidRDefault="00B721B3">
      <w:pPr>
        <w:numPr>
          <w:ilvl w:val="0"/>
          <w:numId w:val="22"/>
        </w:numPr>
        <w:tabs>
          <w:tab w:val="left" w:pos="284"/>
          <w:tab w:val="left" w:pos="7459"/>
        </w:tabs>
        <w:ind w:left="284" w:hanging="284"/>
        <w:jc w:val="both"/>
        <w:rPr>
          <w:rFonts w:ascii="Arial" w:hAnsi="Arial" w:cs="Arial"/>
          <w:caps/>
          <w:snapToGrid w:val="0"/>
          <w:color w:val="000000"/>
          <w:kern w:val="28"/>
          <w:sz w:val="18"/>
          <w:szCs w:val="18"/>
        </w:rPr>
      </w:pPr>
      <w:r>
        <w:rPr>
          <w:rFonts w:ascii="Arial" w:hAnsi="Arial" w:cs="Arial"/>
          <w:snapToGrid w:val="0"/>
          <w:color w:val="000000"/>
          <w:sz w:val="18"/>
          <w:szCs w:val="18"/>
        </w:rPr>
        <w:t>otaczarki (zespołu maszyn i urządzeń dozowania, podgrzewania i mieszania składników oraz przechowywania gotowej mieszanki).</w:t>
      </w:r>
      <w:r>
        <w:rPr>
          <w:rFonts w:ascii="Arial" w:hAnsi="Arial" w:cs="Arial"/>
          <w:i/>
          <w:snapToGrid w:val="0"/>
          <w:color w:val="000000"/>
          <w:sz w:val="18"/>
          <w:szCs w:val="18"/>
          <w:lang w:eastAsia="ar-SA"/>
        </w:rPr>
        <w:t xml:space="preserve"> </w:t>
      </w:r>
      <w:r>
        <w:rPr>
          <w:rFonts w:ascii="Arial" w:hAnsi="Arial" w:cs="Arial"/>
          <w:snapToGrid w:val="0"/>
          <w:color w:val="000000"/>
          <w:sz w:val="18"/>
          <w:szCs w:val="18"/>
          <w:lang w:eastAsia="ar-SA"/>
        </w:rPr>
        <w:t>Na WMA musi być wdrożony certyfikowany system ZKP, zgodnie z wymaganiami PN-EN 13108-21.</w:t>
      </w:r>
      <w:r>
        <w:rPr>
          <w:rFonts w:ascii="Arial" w:hAnsi="Arial" w:cs="Arial"/>
          <w:snapToGrid w:val="0"/>
          <w:color w:val="000000"/>
          <w:kern w:val="28"/>
          <w:sz w:val="18"/>
          <w:szCs w:val="18"/>
        </w:rPr>
        <w:t xml:space="preserve"> WMA ma być tak wyposażona, aby był na niej możliwy pobór próbek asfaltu do badań. Próbki takie należy pobierać ze zbiorników na asfalt, z miejsc przepływu asfaltu tj. przed pompą tankującą (kontrola dostarczanego asfaltu) oraz przed pompą dozującą na wagę (kontrola zastosowanego do mma asfaltu). Wykonawca (właściciel WMA) ma dostosować WMA do poboru próbek podczas produkcji mma, we wskazanych miejscach.</w:t>
      </w:r>
    </w:p>
    <w:p w14:paraId="661B66A7" w14:textId="77777777" w:rsidR="00C32A41" w:rsidRDefault="00B721B3">
      <w:pPr>
        <w:numPr>
          <w:ilvl w:val="0"/>
          <w:numId w:val="22"/>
        </w:numPr>
        <w:tabs>
          <w:tab w:val="left" w:pos="0"/>
        </w:tabs>
        <w:ind w:left="284" w:hanging="284"/>
        <w:jc w:val="both"/>
        <w:rPr>
          <w:rFonts w:ascii="Arial" w:hAnsi="Arial" w:cs="Arial"/>
          <w:sz w:val="18"/>
          <w:szCs w:val="18"/>
        </w:rPr>
      </w:pPr>
      <w:r>
        <w:rPr>
          <w:rFonts w:ascii="Arial" w:hAnsi="Arial" w:cs="Arial"/>
          <w:sz w:val="18"/>
          <w:szCs w:val="18"/>
        </w:rPr>
        <w:t xml:space="preserve">skrapiarek, </w:t>
      </w:r>
    </w:p>
    <w:p w14:paraId="443E06EF"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rozkładarki wyposażonej w układ automatycznego sterowania grubości warstwy i utrzymania niwelety zgodnie z dokumentacją projektową, </w:t>
      </w:r>
    </w:p>
    <w:p w14:paraId="1A9CD8B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drobnego sprzętu do ręcznego wykonania warstwy w miejscach niedostępnych dla rozkładarki,</w:t>
      </w:r>
    </w:p>
    <w:p w14:paraId="0E33A34E"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walców drogowych ciężkich, stalowych, gładkich z możliwością wibracji, oscylacji lub walce ogumione, płyt wibracyjnych lub ręcznych zagęszczarek do zagęszczania warstwy w miejscach niedostępnych dla walców,</w:t>
      </w:r>
    </w:p>
    <w:p w14:paraId="6E0C963D" w14:textId="77777777" w:rsidR="00C32A41" w:rsidRDefault="00B721B3">
      <w:pPr>
        <w:numPr>
          <w:ilvl w:val="0"/>
          <w:numId w:val="22"/>
        </w:numPr>
        <w:tabs>
          <w:tab w:val="left" w:pos="0"/>
          <w:tab w:val="right" w:pos="8809"/>
        </w:tabs>
        <w:ind w:left="284" w:hanging="284"/>
        <w:jc w:val="both"/>
        <w:rPr>
          <w:rFonts w:ascii="Arial" w:hAnsi="Arial" w:cs="Arial"/>
          <w:sz w:val="18"/>
          <w:szCs w:val="18"/>
        </w:rPr>
      </w:pPr>
      <w:r>
        <w:rPr>
          <w:rFonts w:ascii="Arial" w:hAnsi="Arial" w:cs="Arial"/>
          <w:sz w:val="18"/>
          <w:szCs w:val="18"/>
        </w:rPr>
        <w:t>samochodów samowyładowczych z przykryciem brezentowym.</w:t>
      </w:r>
    </w:p>
    <w:p w14:paraId="73EC971F" w14:textId="77777777" w:rsidR="00C32A41" w:rsidRDefault="00C32A41">
      <w:pPr>
        <w:tabs>
          <w:tab w:val="left" w:pos="0"/>
          <w:tab w:val="right" w:pos="8809"/>
        </w:tabs>
        <w:jc w:val="both"/>
        <w:rPr>
          <w:rFonts w:ascii="Arial" w:hAnsi="Arial" w:cs="Arial"/>
          <w:sz w:val="18"/>
          <w:szCs w:val="18"/>
        </w:rPr>
      </w:pPr>
    </w:p>
    <w:p w14:paraId="566E6EEE" w14:textId="77777777" w:rsidR="00C32A41" w:rsidRDefault="00C32A41">
      <w:pPr>
        <w:tabs>
          <w:tab w:val="left" w:pos="0"/>
          <w:tab w:val="right" w:pos="8809"/>
        </w:tabs>
        <w:spacing w:after="120"/>
        <w:jc w:val="both"/>
        <w:rPr>
          <w:rFonts w:ascii="Arial" w:hAnsi="Arial" w:cs="Arial"/>
          <w:b/>
          <w:sz w:val="18"/>
          <w:szCs w:val="18"/>
        </w:rPr>
      </w:pPr>
    </w:p>
    <w:p w14:paraId="65A2853D"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4. TRANSPORT</w:t>
      </w:r>
    </w:p>
    <w:p w14:paraId="26DE5AC4"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4.1. Wymagania ogólne</w:t>
      </w:r>
    </w:p>
    <w:p w14:paraId="3B4CD0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wymagania dotyczące transportu podano w STWiORB D-M-00.00.00 „Wymagania ogólne" pkt.4.</w:t>
      </w:r>
    </w:p>
    <w:p w14:paraId="0CE284B6" w14:textId="77777777" w:rsidR="00C32A41" w:rsidRDefault="00C32A41">
      <w:pPr>
        <w:tabs>
          <w:tab w:val="left" w:pos="0"/>
          <w:tab w:val="right" w:pos="8809"/>
        </w:tabs>
        <w:ind w:firstLine="567"/>
        <w:jc w:val="both"/>
        <w:rPr>
          <w:rFonts w:ascii="Arial" w:hAnsi="Arial" w:cs="Arial"/>
          <w:sz w:val="18"/>
          <w:szCs w:val="18"/>
        </w:rPr>
      </w:pPr>
    </w:p>
    <w:p w14:paraId="6909F66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4.2. Asfalt</w:t>
      </w:r>
    </w:p>
    <w:p w14:paraId="3E3FE2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Asfalt należy przewozić zgodnie z zaleceniami Producenta.</w:t>
      </w:r>
    </w:p>
    <w:p w14:paraId="33E62051" w14:textId="77777777" w:rsidR="00C32A41" w:rsidRDefault="00C32A41">
      <w:pPr>
        <w:tabs>
          <w:tab w:val="left" w:pos="0"/>
          <w:tab w:val="right" w:pos="8809"/>
        </w:tabs>
        <w:ind w:firstLine="567"/>
        <w:jc w:val="both"/>
        <w:rPr>
          <w:rFonts w:ascii="Arial" w:hAnsi="Arial" w:cs="Arial"/>
          <w:sz w:val="18"/>
          <w:szCs w:val="18"/>
        </w:rPr>
      </w:pPr>
    </w:p>
    <w:p w14:paraId="1E72977F"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4.3. Wypełniacz</w:t>
      </w:r>
    </w:p>
    <w:p w14:paraId="2D2AB55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luzem należy przewozić w cysternach przystosowanych do przewozu materiałów sypkich, umożliwiających rozładunek pneumatyczny.</w:t>
      </w:r>
    </w:p>
    <w:p w14:paraId="5A7B61A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Wypełniacz workowany można przewozić dowolnymi środkami transportu w sposób zabezpieczony przed zawilgoceniem i uszkodzeniem worków.</w:t>
      </w:r>
    </w:p>
    <w:p w14:paraId="4A5F4E51" w14:textId="77777777" w:rsidR="00C32A41" w:rsidRDefault="00C32A41">
      <w:pPr>
        <w:tabs>
          <w:tab w:val="left" w:pos="0"/>
          <w:tab w:val="right" w:pos="8809"/>
        </w:tabs>
        <w:jc w:val="both"/>
        <w:rPr>
          <w:rFonts w:ascii="Arial" w:hAnsi="Arial" w:cs="Arial"/>
          <w:sz w:val="18"/>
          <w:szCs w:val="18"/>
        </w:rPr>
      </w:pPr>
    </w:p>
    <w:p w14:paraId="454C47CD"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4.4. Kruszywo</w:t>
      </w:r>
    </w:p>
    <w:p w14:paraId="1A6B5D2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Kruszywo można przewozić dowolnymi środkami transportu, w warunkach zabezpieczających je przed zanieczyszczeniem, zmieszaniem z innymi asortymentami kruszywa lub jego frakcjami i nadmiernym zawilgoceniem.</w:t>
      </w:r>
    </w:p>
    <w:p w14:paraId="23E1D7FF" w14:textId="77777777" w:rsidR="00C32A41" w:rsidRDefault="00C32A41">
      <w:pPr>
        <w:tabs>
          <w:tab w:val="left" w:pos="0"/>
          <w:tab w:val="right" w:pos="8809"/>
        </w:tabs>
        <w:jc w:val="both"/>
        <w:rPr>
          <w:rFonts w:ascii="Arial" w:hAnsi="Arial" w:cs="Arial"/>
          <w:sz w:val="18"/>
          <w:szCs w:val="18"/>
        </w:rPr>
      </w:pPr>
    </w:p>
    <w:p w14:paraId="2A280CE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4.5. Mieszanka mineralno-asfaltowa</w:t>
      </w:r>
    </w:p>
    <w:p w14:paraId="5D83EDC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Mieszankę mineralno-asfaltową należy przewozić pojazdami samowyładowczymi o dużej ładowności, wyposażonymi w plandeki do przykrywania mieszanki podczas transportu.</w:t>
      </w:r>
      <w:r>
        <w:rPr>
          <w:rFonts w:ascii="Arial" w:hAnsi="Arial" w:cs="Arial"/>
          <w:snapToGrid w:val="0"/>
          <w:color w:val="000000"/>
          <w:sz w:val="18"/>
          <w:szCs w:val="18"/>
        </w:rPr>
        <w:tab/>
      </w:r>
    </w:p>
    <w:p w14:paraId="2944FE4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Czas i warunki transportu powinny być takie, aby mieszanka wyładowywana do kosza układarki posiadała temperaturę nie niższą niż minimalna temperatura wbudowania określona w pkt. 5.3. </w:t>
      </w:r>
    </w:p>
    <w:p w14:paraId="56DB9241" w14:textId="77777777" w:rsidR="00C32A41" w:rsidRDefault="00B721B3">
      <w:pPr>
        <w:suppressAutoHyphens/>
        <w:ind w:firstLine="567"/>
        <w:jc w:val="both"/>
        <w:rPr>
          <w:rFonts w:ascii="Arial" w:hAnsi="Arial" w:cs="Arial"/>
          <w:spacing w:val="-3"/>
          <w:sz w:val="18"/>
          <w:szCs w:val="18"/>
        </w:rPr>
      </w:pPr>
      <w:r>
        <w:rPr>
          <w:rFonts w:ascii="Arial" w:hAnsi="Arial" w:cs="Arial"/>
          <w:spacing w:val="-3"/>
          <w:sz w:val="18"/>
          <w:szCs w:val="18"/>
        </w:rPr>
        <w:t>Zaleca się stosowanie samochodów-termosów.</w:t>
      </w:r>
    </w:p>
    <w:p w14:paraId="4086A4C0" w14:textId="77777777" w:rsidR="00C32A41" w:rsidRDefault="00C32A41">
      <w:pPr>
        <w:suppressAutoHyphens/>
        <w:ind w:firstLine="567"/>
        <w:jc w:val="both"/>
        <w:rPr>
          <w:rFonts w:ascii="Arial" w:hAnsi="Arial" w:cs="Arial"/>
          <w:spacing w:val="-3"/>
          <w:sz w:val="18"/>
          <w:szCs w:val="18"/>
        </w:rPr>
      </w:pPr>
    </w:p>
    <w:p w14:paraId="086B2B20"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5. WYKONANIE ROBÓT</w:t>
      </w:r>
    </w:p>
    <w:p w14:paraId="1262282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lastRenderedPageBreak/>
        <w:t>5.1. Ogólne zasady wykonania robót</w:t>
      </w:r>
    </w:p>
    <w:p w14:paraId="5AAACBC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wykonania robót podano w STWiORB D-M-00.00.00. “Wymagania ogólne” pkt. 5.</w:t>
      </w:r>
    </w:p>
    <w:p w14:paraId="6558CEA3" w14:textId="77777777" w:rsidR="00C32A41" w:rsidRDefault="00C32A41">
      <w:pPr>
        <w:tabs>
          <w:tab w:val="left" w:pos="0"/>
          <w:tab w:val="right" w:pos="8809"/>
        </w:tabs>
        <w:ind w:firstLine="567"/>
        <w:jc w:val="both"/>
        <w:rPr>
          <w:rFonts w:ascii="Arial" w:hAnsi="Arial" w:cs="Arial"/>
          <w:sz w:val="18"/>
          <w:szCs w:val="18"/>
        </w:rPr>
      </w:pPr>
    </w:p>
    <w:p w14:paraId="1AFC1D4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5.2. Projektowanie mieszanki mineralno-asfaltowej</w:t>
      </w:r>
    </w:p>
    <w:p w14:paraId="54FC135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przystąpieniem do robót, w terminie uzgodnionym z Inspektorem Nadzoru, ale nie krótszym niż 1 miesiąc, Wykonawca dostarczy Inspektorowi Nadzoru do akceptacji projekt składu mieszanki mineralno-asfaltowej oraz wyniki badań laboratoryjnych i próbki materiałów pobrane w obecności Inspektora Nadzoru.</w:t>
      </w:r>
    </w:p>
    <w:p w14:paraId="657FF08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Projektowanie mieszanki mineralno-asfaltowej polega na:</w:t>
      </w:r>
    </w:p>
    <w:p w14:paraId="783BAD7B"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składników mieszanki,</w:t>
      </w:r>
    </w:p>
    <w:p w14:paraId="247B2F3D"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doborze optymalnej ilości asfaltu,</w:t>
      </w:r>
    </w:p>
    <w:p w14:paraId="24CFEBD6" w14:textId="77777777" w:rsidR="00C32A41" w:rsidRDefault="00B721B3">
      <w:pPr>
        <w:numPr>
          <w:ilvl w:val="0"/>
          <w:numId w:val="23"/>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określeniu jej właściwości i porównaniu wyników z założeniami projektowymi.</w:t>
      </w:r>
    </w:p>
    <w:p w14:paraId="57973ED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Zmiana składników mieszanki w czasie trwania robót wymaga akceptacji Inspektora Nadzoru oraz opracowania nowej recepty i jej zatwierdzenia.</w:t>
      </w:r>
    </w:p>
    <w:p w14:paraId="6051BC1A"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Krzywa uziarnienia mieszanki mineralnej powinna się mieścić w polu dobrego uziarnienia wyznaczonego przez krzywe graniczne, podane w Tablicy 3.</w:t>
      </w:r>
    </w:p>
    <w:p w14:paraId="3AAA2C07" w14:textId="77777777" w:rsidR="00C32A41" w:rsidRDefault="00C32A41">
      <w:pPr>
        <w:tabs>
          <w:tab w:val="left" w:pos="0"/>
          <w:tab w:val="right" w:pos="8809"/>
        </w:tabs>
        <w:jc w:val="both"/>
        <w:rPr>
          <w:rFonts w:ascii="Arial" w:hAnsi="Arial" w:cs="Arial"/>
          <w:sz w:val="18"/>
          <w:szCs w:val="18"/>
        </w:rPr>
      </w:pPr>
    </w:p>
    <w:p w14:paraId="2D67E8A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3. Rzędne krzywych granicznych uziarnienia mieszanki mineralnej AC 16 W oraz orientacyjną zawartość asfaltu dla KR 1 - KR 2.</w:t>
      </w:r>
    </w:p>
    <w:p w14:paraId="0656106A" w14:textId="77777777" w:rsidR="00C32A41" w:rsidRDefault="00C32A41">
      <w:pPr>
        <w:tabs>
          <w:tab w:val="left" w:pos="0"/>
          <w:tab w:val="right" w:pos="8809"/>
        </w:tabs>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827"/>
        <w:gridCol w:w="1152"/>
        <w:gridCol w:w="1152"/>
      </w:tblGrid>
      <w:tr w:rsidR="00C32A41" w14:paraId="584039B3" w14:textId="77777777">
        <w:trPr>
          <w:trHeight w:val="120"/>
          <w:jc w:val="center"/>
        </w:trPr>
        <w:tc>
          <w:tcPr>
            <w:tcW w:w="3827" w:type="dxa"/>
            <w:vMerge w:val="restart"/>
            <w:tcBorders>
              <w:top w:val="single" w:sz="4" w:space="0" w:color="auto"/>
              <w:left w:val="single" w:sz="4" w:space="0" w:color="auto"/>
              <w:right w:val="single" w:sz="4" w:space="0" w:color="auto"/>
            </w:tcBorders>
          </w:tcPr>
          <w:p w14:paraId="2EC064A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Właściwość</w:t>
            </w:r>
          </w:p>
        </w:tc>
        <w:tc>
          <w:tcPr>
            <w:tcW w:w="2304" w:type="dxa"/>
            <w:gridSpan w:val="2"/>
            <w:tcBorders>
              <w:top w:val="single" w:sz="4" w:space="0" w:color="auto"/>
              <w:left w:val="single" w:sz="4" w:space="0" w:color="auto"/>
              <w:bottom w:val="single" w:sz="4" w:space="0" w:color="auto"/>
              <w:right w:val="single" w:sz="4" w:space="0" w:color="auto"/>
            </w:tcBorders>
          </w:tcPr>
          <w:p w14:paraId="25E188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Przesiew [%(mm)]</w:t>
            </w:r>
          </w:p>
        </w:tc>
      </w:tr>
      <w:tr w:rsidR="00C32A41" w14:paraId="2676BAFD" w14:textId="77777777">
        <w:trPr>
          <w:trHeight w:val="120"/>
          <w:jc w:val="center"/>
        </w:trPr>
        <w:tc>
          <w:tcPr>
            <w:tcW w:w="3827" w:type="dxa"/>
            <w:vMerge/>
            <w:tcBorders>
              <w:left w:val="single" w:sz="4" w:space="0" w:color="auto"/>
              <w:bottom w:val="single" w:sz="4" w:space="0" w:color="auto"/>
              <w:right w:val="single" w:sz="4" w:space="0" w:color="auto"/>
            </w:tcBorders>
          </w:tcPr>
          <w:p w14:paraId="32F275E0" w14:textId="77777777" w:rsidR="00C32A41" w:rsidRDefault="00C32A41">
            <w:pPr>
              <w:tabs>
                <w:tab w:val="left" w:pos="0"/>
                <w:tab w:val="right" w:pos="8809"/>
              </w:tabs>
              <w:jc w:val="both"/>
              <w:rPr>
                <w:rFonts w:ascii="Arial" w:hAnsi="Arial" w:cs="Arial"/>
                <w:sz w:val="18"/>
                <w:szCs w:val="18"/>
              </w:rPr>
            </w:pPr>
          </w:p>
        </w:tc>
        <w:tc>
          <w:tcPr>
            <w:tcW w:w="2304" w:type="dxa"/>
            <w:gridSpan w:val="2"/>
            <w:tcBorders>
              <w:top w:val="single" w:sz="4" w:space="0" w:color="auto"/>
              <w:left w:val="single" w:sz="4" w:space="0" w:color="auto"/>
              <w:bottom w:val="single" w:sz="4" w:space="0" w:color="auto"/>
              <w:right w:val="single" w:sz="4" w:space="0" w:color="auto"/>
            </w:tcBorders>
          </w:tcPr>
          <w:p w14:paraId="1AA0D0C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AC 16 W      KR1 - KR 2</w:t>
            </w:r>
          </w:p>
        </w:tc>
      </w:tr>
      <w:tr w:rsidR="00C32A41" w14:paraId="33FD602B"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3F03B1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Wymiar oczek sit [mm]</w:t>
            </w:r>
          </w:p>
        </w:tc>
        <w:tc>
          <w:tcPr>
            <w:tcW w:w="1152" w:type="dxa"/>
            <w:tcBorders>
              <w:top w:val="single" w:sz="4" w:space="0" w:color="auto"/>
              <w:left w:val="single" w:sz="4" w:space="0" w:color="auto"/>
              <w:bottom w:val="single" w:sz="4" w:space="0" w:color="auto"/>
              <w:right w:val="single" w:sz="4" w:space="0" w:color="auto"/>
            </w:tcBorders>
          </w:tcPr>
          <w:p w14:paraId="22172677"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 xml:space="preserve">od </w:t>
            </w:r>
          </w:p>
        </w:tc>
        <w:tc>
          <w:tcPr>
            <w:tcW w:w="1152" w:type="dxa"/>
            <w:tcBorders>
              <w:top w:val="single" w:sz="4" w:space="0" w:color="auto"/>
              <w:left w:val="single" w:sz="4" w:space="0" w:color="auto"/>
              <w:bottom w:val="single" w:sz="4" w:space="0" w:color="auto"/>
              <w:right w:val="single" w:sz="4" w:space="0" w:color="auto"/>
            </w:tcBorders>
          </w:tcPr>
          <w:p w14:paraId="6D2B5F8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do</w:t>
            </w:r>
          </w:p>
        </w:tc>
      </w:tr>
      <w:tr w:rsidR="00C32A41" w14:paraId="0550FD89"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5F111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31,5</w:t>
            </w:r>
          </w:p>
        </w:tc>
        <w:tc>
          <w:tcPr>
            <w:tcW w:w="1152" w:type="dxa"/>
            <w:tcBorders>
              <w:top w:val="single" w:sz="4" w:space="0" w:color="auto"/>
              <w:left w:val="single" w:sz="4" w:space="0" w:color="auto"/>
              <w:bottom w:val="single" w:sz="4" w:space="0" w:color="auto"/>
              <w:right w:val="single" w:sz="4" w:space="0" w:color="auto"/>
            </w:tcBorders>
          </w:tcPr>
          <w:p w14:paraId="4C1F4D10"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67DC310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4D9A632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0F1B222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22,4</w:t>
            </w:r>
          </w:p>
        </w:tc>
        <w:tc>
          <w:tcPr>
            <w:tcW w:w="1152" w:type="dxa"/>
            <w:tcBorders>
              <w:top w:val="single" w:sz="4" w:space="0" w:color="auto"/>
              <w:left w:val="single" w:sz="4" w:space="0" w:color="auto"/>
              <w:bottom w:val="single" w:sz="4" w:space="0" w:color="auto"/>
              <w:right w:val="single" w:sz="4" w:space="0" w:color="auto"/>
            </w:tcBorders>
          </w:tcPr>
          <w:p w14:paraId="1EF9DA2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c>
          <w:tcPr>
            <w:tcW w:w="1152" w:type="dxa"/>
            <w:tcBorders>
              <w:top w:val="single" w:sz="4" w:space="0" w:color="auto"/>
              <w:left w:val="single" w:sz="4" w:space="0" w:color="auto"/>
              <w:bottom w:val="single" w:sz="4" w:space="0" w:color="auto"/>
              <w:right w:val="single" w:sz="4" w:space="0" w:color="auto"/>
            </w:tcBorders>
          </w:tcPr>
          <w:p w14:paraId="7233F06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7822ADC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6DAB0C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16</w:t>
            </w:r>
          </w:p>
        </w:tc>
        <w:tc>
          <w:tcPr>
            <w:tcW w:w="1152" w:type="dxa"/>
            <w:tcBorders>
              <w:top w:val="single" w:sz="4" w:space="0" w:color="auto"/>
              <w:left w:val="single" w:sz="4" w:space="0" w:color="auto"/>
              <w:bottom w:val="single" w:sz="4" w:space="0" w:color="auto"/>
              <w:right w:val="single" w:sz="4" w:space="0" w:color="auto"/>
            </w:tcBorders>
          </w:tcPr>
          <w:p w14:paraId="7EBD75F2"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90</w:t>
            </w:r>
          </w:p>
        </w:tc>
        <w:tc>
          <w:tcPr>
            <w:tcW w:w="1152" w:type="dxa"/>
            <w:tcBorders>
              <w:top w:val="single" w:sz="4" w:space="0" w:color="auto"/>
              <w:left w:val="single" w:sz="4" w:space="0" w:color="auto"/>
              <w:bottom w:val="single" w:sz="4" w:space="0" w:color="auto"/>
              <w:right w:val="single" w:sz="4" w:space="0" w:color="auto"/>
            </w:tcBorders>
          </w:tcPr>
          <w:p w14:paraId="4562BE13"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100</w:t>
            </w:r>
          </w:p>
        </w:tc>
      </w:tr>
      <w:tr w:rsidR="00C32A41" w14:paraId="2C06C018"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65727593"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11,2</w:t>
            </w:r>
          </w:p>
        </w:tc>
        <w:tc>
          <w:tcPr>
            <w:tcW w:w="1152" w:type="dxa"/>
            <w:tcBorders>
              <w:top w:val="single" w:sz="4" w:space="0" w:color="auto"/>
              <w:left w:val="single" w:sz="4" w:space="0" w:color="auto"/>
              <w:bottom w:val="single" w:sz="4" w:space="0" w:color="auto"/>
              <w:right w:val="single" w:sz="4" w:space="0" w:color="auto"/>
            </w:tcBorders>
          </w:tcPr>
          <w:p w14:paraId="73157C0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65</w:t>
            </w:r>
          </w:p>
        </w:tc>
        <w:tc>
          <w:tcPr>
            <w:tcW w:w="1152" w:type="dxa"/>
            <w:tcBorders>
              <w:top w:val="single" w:sz="4" w:space="0" w:color="auto"/>
              <w:left w:val="single" w:sz="4" w:space="0" w:color="auto"/>
              <w:bottom w:val="single" w:sz="4" w:space="0" w:color="auto"/>
              <w:right w:val="single" w:sz="4" w:space="0" w:color="auto"/>
            </w:tcBorders>
          </w:tcPr>
          <w:p w14:paraId="1A4389B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2C15E42C"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1A041C4F"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8</w:t>
            </w:r>
          </w:p>
        </w:tc>
        <w:tc>
          <w:tcPr>
            <w:tcW w:w="1152" w:type="dxa"/>
            <w:tcBorders>
              <w:top w:val="single" w:sz="4" w:space="0" w:color="auto"/>
              <w:left w:val="single" w:sz="4" w:space="0" w:color="auto"/>
              <w:bottom w:val="single" w:sz="4" w:space="0" w:color="auto"/>
              <w:right w:val="single" w:sz="4" w:space="0" w:color="auto"/>
            </w:tcBorders>
          </w:tcPr>
          <w:p w14:paraId="2ABEB00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c>
          <w:tcPr>
            <w:tcW w:w="1152" w:type="dxa"/>
            <w:tcBorders>
              <w:top w:val="single" w:sz="4" w:space="0" w:color="auto"/>
              <w:left w:val="single" w:sz="4" w:space="0" w:color="auto"/>
              <w:bottom w:val="single" w:sz="4" w:space="0" w:color="auto"/>
              <w:right w:val="single" w:sz="4" w:space="0" w:color="auto"/>
            </w:tcBorders>
          </w:tcPr>
          <w:p w14:paraId="7073F89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t>
            </w:r>
          </w:p>
        </w:tc>
      </w:tr>
      <w:tr w:rsidR="00C32A41" w14:paraId="647F262D"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5EDF41E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2</w:t>
            </w:r>
          </w:p>
        </w:tc>
        <w:tc>
          <w:tcPr>
            <w:tcW w:w="1152" w:type="dxa"/>
            <w:tcBorders>
              <w:top w:val="single" w:sz="4" w:space="0" w:color="auto"/>
              <w:left w:val="single" w:sz="4" w:space="0" w:color="auto"/>
              <w:bottom w:val="single" w:sz="4" w:space="0" w:color="auto"/>
              <w:right w:val="single" w:sz="4" w:space="0" w:color="auto"/>
            </w:tcBorders>
          </w:tcPr>
          <w:p w14:paraId="35F1080D"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25</w:t>
            </w:r>
          </w:p>
        </w:tc>
        <w:tc>
          <w:tcPr>
            <w:tcW w:w="1152" w:type="dxa"/>
            <w:tcBorders>
              <w:top w:val="single" w:sz="4" w:space="0" w:color="auto"/>
              <w:left w:val="single" w:sz="4" w:space="0" w:color="auto"/>
              <w:bottom w:val="single" w:sz="4" w:space="0" w:color="auto"/>
              <w:right w:val="single" w:sz="4" w:space="0" w:color="auto"/>
            </w:tcBorders>
          </w:tcPr>
          <w:p w14:paraId="7ACEA439"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55</w:t>
            </w:r>
          </w:p>
        </w:tc>
      </w:tr>
      <w:tr w:rsidR="00C32A41" w14:paraId="7E23A487"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CE875C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0,125</w:t>
            </w:r>
          </w:p>
        </w:tc>
        <w:tc>
          <w:tcPr>
            <w:tcW w:w="1152" w:type="dxa"/>
            <w:tcBorders>
              <w:top w:val="single" w:sz="4" w:space="0" w:color="auto"/>
              <w:left w:val="single" w:sz="4" w:space="0" w:color="auto"/>
              <w:bottom w:val="single" w:sz="4" w:space="0" w:color="auto"/>
              <w:right w:val="single" w:sz="4" w:space="0" w:color="auto"/>
            </w:tcBorders>
          </w:tcPr>
          <w:p w14:paraId="7CFAF63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5</w:t>
            </w:r>
          </w:p>
        </w:tc>
        <w:tc>
          <w:tcPr>
            <w:tcW w:w="1152" w:type="dxa"/>
            <w:tcBorders>
              <w:top w:val="single" w:sz="4" w:space="0" w:color="auto"/>
              <w:left w:val="single" w:sz="4" w:space="0" w:color="auto"/>
              <w:bottom w:val="single" w:sz="4" w:space="0" w:color="auto"/>
              <w:right w:val="single" w:sz="4" w:space="0" w:color="auto"/>
            </w:tcBorders>
          </w:tcPr>
          <w:p w14:paraId="42C441F8"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15</w:t>
            </w:r>
          </w:p>
        </w:tc>
      </w:tr>
      <w:tr w:rsidR="00C32A41" w14:paraId="09401051"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386BBC4A"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0,063</w:t>
            </w:r>
          </w:p>
        </w:tc>
        <w:tc>
          <w:tcPr>
            <w:tcW w:w="1152" w:type="dxa"/>
            <w:tcBorders>
              <w:top w:val="single" w:sz="4" w:space="0" w:color="auto"/>
              <w:left w:val="single" w:sz="4" w:space="0" w:color="auto"/>
              <w:bottom w:val="single" w:sz="4" w:space="0" w:color="auto"/>
              <w:right w:val="single" w:sz="4" w:space="0" w:color="auto"/>
            </w:tcBorders>
          </w:tcPr>
          <w:p w14:paraId="1823366E"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3,0</w:t>
            </w:r>
          </w:p>
        </w:tc>
        <w:tc>
          <w:tcPr>
            <w:tcW w:w="1152" w:type="dxa"/>
            <w:tcBorders>
              <w:top w:val="single" w:sz="4" w:space="0" w:color="auto"/>
              <w:left w:val="single" w:sz="4" w:space="0" w:color="auto"/>
              <w:bottom w:val="single" w:sz="4" w:space="0" w:color="auto"/>
              <w:right w:val="single" w:sz="4" w:space="0" w:color="auto"/>
            </w:tcBorders>
          </w:tcPr>
          <w:p w14:paraId="19EBE1BF"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8,0</w:t>
            </w:r>
          </w:p>
        </w:tc>
      </w:tr>
      <w:tr w:rsidR="00C32A41" w14:paraId="13C31436" w14:textId="77777777">
        <w:trPr>
          <w:jc w:val="center"/>
        </w:trPr>
        <w:tc>
          <w:tcPr>
            <w:tcW w:w="3827" w:type="dxa"/>
            <w:tcBorders>
              <w:top w:val="single" w:sz="4" w:space="0" w:color="auto"/>
              <w:left w:val="single" w:sz="4" w:space="0" w:color="auto"/>
              <w:bottom w:val="single" w:sz="4" w:space="0" w:color="auto"/>
              <w:right w:val="single" w:sz="4" w:space="0" w:color="auto"/>
            </w:tcBorders>
          </w:tcPr>
          <w:p w14:paraId="79BEA22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Zawartość lepiszcza, wzór (2) </w:t>
            </w:r>
          </w:p>
        </w:tc>
        <w:tc>
          <w:tcPr>
            <w:tcW w:w="2304" w:type="dxa"/>
            <w:gridSpan w:val="2"/>
            <w:tcBorders>
              <w:top w:val="single" w:sz="4" w:space="0" w:color="auto"/>
              <w:left w:val="single" w:sz="4" w:space="0" w:color="auto"/>
              <w:bottom w:val="single" w:sz="4" w:space="0" w:color="auto"/>
              <w:right w:val="single" w:sz="4" w:space="0" w:color="auto"/>
            </w:tcBorders>
          </w:tcPr>
          <w:p w14:paraId="2160A5BD" w14:textId="77777777" w:rsidR="00C32A41" w:rsidRDefault="00B721B3">
            <w:pPr>
              <w:tabs>
                <w:tab w:val="left" w:pos="0"/>
                <w:tab w:val="right" w:pos="8809"/>
              </w:tabs>
              <w:jc w:val="center"/>
              <w:rPr>
                <w:rFonts w:ascii="Arial" w:hAnsi="Arial" w:cs="Arial"/>
                <w:sz w:val="18"/>
                <w:szCs w:val="18"/>
                <w:vertAlign w:val="subscript"/>
              </w:rPr>
            </w:pPr>
            <w:r>
              <w:rPr>
                <w:rFonts w:ascii="Arial" w:hAnsi="Arial" w:cs="Arial"/>
                <w:sz w:val="18"/>
                <w:szCs w:val="18"/>
              </w:rPr>
              <w:t xml:space="preserve">B </w:t>
            </w:r>
            <w:r>
              <w:rPr>
                <w:rFonts w:ascii="Arial" w:hAnsi="Arial" w:cs="Arial"/>
                <w:sz w:val="18"/>
                <w:szCs w:val="18"/>
                <w:vertAlign w:val="subscript"/>
              </w:rPr>
              <w:t>min 4,6</w:t>
            </w:r>
          </w:p>
        </w:tc>
      </w:tr>
    </w:tbl>
    <w:p w14:paraId="3DEB1935" w14:textId="77777777" w:rsidR="00C32A41" w:rsidRDefault="00C32A41">
      <w:pPr>
        <w:tabs>
          <w:tab w:val="left" w:pos="0"/>
          <w:tab w:val="right" w:pos="8809"/>
        </w:tabs>
        <w:jc w:val="both"/>
        <w:rPr>
          <w:rFonts w:ascii="Arial" w:hAnsi="Arial" w:cs="Arial"/>
          <w:sz w:val="18"/>
          <w:szCs w:val="18"/>
        </w:rPr>
      </w:pPr>
    </w:p>
    <w:p w14:paraId="7F32EBE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Minimalna zawartość lepiszcza (kategoria B </w:t>
      </w:r>
      <w:r>
        <w:rPr>
          <w:rFonts w:ascii="Arial" w:hAnsi="Arial" w:cs="Arial"/>
          <w:sz w:val="18"/>
          <w:szCs w:val="18"/>
          <w:vertAlign w:val="subscript"/>
        </w:rPr>
        <w:t xml:space="preserve">min </w:t>
      </w:r>
      <w:r>
        <w:rPr>
          <w:rFonts w:ascii="Arial" w:hAnsi="Arial" w:cs="Arial"/>
          <w:sz w:val="18"/>
          <w:szCs w:val="18"/>
        </w:rPr>
        <w:t>) w mieszance mineralno-asfaltowej, podana w Tablicy 3 jest określona przy założonej gęstości mieszanki mineralnej 2,650 Mg/m</w:t>
      </w:r>
      <w:r>
        <w:rPr>
          <w:rFonts w:ascii="Arial" w:hAnsi="Arial" w:cs="Arial"/>
          <w:sz w:val="18"/>
          <w:szCs w:val="18"/>
          <w:vertAlign w:val="superscript"/>
        </w:rPr>
        <w:t>3</w:t>
      </w:r>
      <w:r>
        <w:rPr>
          <w:rFonts w:ascii="Arial" w:hAnsi="Arial" w:cs="Arial"/>
          <w:sz w:val="18"/>
          <w:szCs w:val="18"/>
        </w:rPr>
        <w:t>. Jeżeli stosowana mieszanka ma inną gęstość (ρ</w:t>
      </w:r>
      <w:r>
        <w:rPr>
          <w:rFonts w:ascii="Arial" w:hAnsi="Arial" w:cs="Arial"/>
          <w:sz w:val="18"/>
          <w:szCs w:val="18"/>
          <w:vertAlign w:val="subscript"/>
        </w:rPr>
        <w:t>A</w:t>
      </w:r>
      <w:r>
        <w:rPr>
          <w:rFonts w:ascii="Arial" w:hAnsi="Arial" w:cs="Arial"/>
          <w:sz w:val="18"/>
          <w:szCs w:val="18"/>
        </w:rPr>
        <w:t>), to do wyznaczenia minimalnej zawartości lepiszcza podaną wartość należy pomnożyć przez współczynnik A wg równania:</w:t>
      </w:r>
    </w:p>
    <w:p w14:paraId="5F91F5F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7D959270" w14:textId="77777777" w:rsidR="00C32A41" w:rsidRDefault="00B721B3">
      <w:pPr>
        <w:tabs>
          <w:tab w:val="left" w:pos="0"/>
          <w:tab w:val="right" w:pos="8809"/>
        </w:tabs>
        <w:jc w:val="both"/>
        <w:rPr>
          <w:rFonts w:ascii="Arial" w:hAnsi="Arial" w:cs="Arial"/>
          <w:sz w:val="18"/>
          <w:szCs w:val="18"/>
          <w:vertAlign w:val="subscript"/>
        </w:rPr>
      </w:pPr>
      <w:r>
        <w:rPr>
          <w:rFonts w:ascii="Arial" w:hAnsi="Arial" w:cs="Arial"/>
          <w:sz w:val="18"/>
          <w:szCs w:val="18"/>
        </w:rPr>
        <w:t xml:space="preserve">                                     Α = 2,650 : ρ</w:t>
      </w:r>
      <w:r>
        <w:rPr>
          <w:rFonts w:ascii="Arial" w:hAnsi="Arial" w:cs="Arial"/>
          <w:sz w:val="18"/>
          <w:szCs w:val="18"/>
          <w:vertAlign w:val="subscript"/>
        </w:rPr>
        <w:t>A</w:t>
      </w:r>
    </w:p>
    <w:p w14:paraId="6E1FDC1A" w14:textId="77777777" w:rsidR="00C32A41" w:rsidRDefault="00C32A41">
      <w:pPr>
        <w:tabs>
          <w:tab w:val="left" w:pos="0"/>
          <w:tab w:val="right" w:pos="8809"/>
        </w:tabs>
        <w:jc w:val="both"/>
        <w:rPr>
          <w:rFonts w:ascii="Arial" w:hAnsi="Arial" w:cs="Arial"/>
          <w:sz w:val="18"/>
          <w:szCs w:val="18"/>
        </w:rPr>
      </w:pPr>
    </w:p>
    <w:p w14:paraId="574BD6B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Skład mieszanki mineralno-asfaltowej powinien być ustalony na podstawie badań próbek wykonanych wg metody Marshalla oraz pozostałych wymagań podanych w Tablicy 4. </w:t>
      </w:r>
    </w:p>
    <w:p w14:paraId="137A1643" w14:textId="77777777" w:rsidR="00C32A41" w:rsidRDefault="00C32A41">
      <w:pPr>
        <w:tabs>
          <w:tab w:val="left" w:pos="1008"/>
          <w:tab w:val="left" w:pos="7459"/>
        </w:tabs>
        <w:rPr>
          <w:rFonts w:ascii="Arial" w:hAnsi="Arial" w:cs="Arial"/>
          <w:snapToGrid w:val="0"/>
          <w:color w:val="000000"/>
          <w:sz w:val="18"/>
          <w:szCs w:val="18"/>
        </w:rPr>
      </w:pPr>
    </w:p>
    <w:p w14:paraId="4DB4B6A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Tablica 4. Wymagane właściwości mieszanki AC 16 W dla ruchu </w:t>
      </w:r>
      <w:r>
        <w:rPr>
          <w:rFonts w:ascii="Arial" w:hAnsi="Arial" w:cs="Arial"/>
          <w:sz w:val="18"/>
          <w:szCs w:val="18"/>
        </w:rPr>
        <w:t xml:space="preserve">KR 1 - KR 2 </w:t>
      </w:r>
      <w:r>
        <w:rPr>
          <w:rFonts w:ascii="Arial" w:hAnsi="Arial" w:cs="Arial"/>
          <w:snapToGrid w:val="0"/>
          <w:color w:val="000000"/>
          <w:sz w:val="18"/>
          <w:szCs w:val="18"/>
        </w:rPr>
        <w:t>oraz warstwy wiążącej.</w:t>
      </w:r>
    </w:p>
    <w:p w14:paraId="28CFBB86" w14:textId="77777777" w:rsidR="00C32A41" w:rsidRDefault="00C32A41">
      <w:pPr>
        <w:tabs>
          <w:tab w:val="left" w:pos="1008"/>
          <w:tab w:val="left" w:pos="7459"/>
        </w:tabs>
        <w:rPr>
          <w:rFonts w:ascii="Arial" w:hAnsi="Arial" w:cs="Arial"/>
          <w:snapToGrid w:val="0"/>
          <w:color w:val="000000"/>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426"/>
        <w:gridCol w:w="2976"/>
        <w:gridCol w:w="1843"/>
        <w:gridCol w:w="1701"/>
        <w:gridCol w:w="2552"/>
      </w:tblGrid>
      <w:tr w:rsidR="00C32A41" w14:paraId="3FAB5520" w14:textId="77777777">
        <w:trPr>
          <w:cantSplit/>
          <w:trHeight w:val="230"/>
        </w:trPr>
        <w:tc>
          <w:tcPr>
            <w:tcW w:w="426" w:type="dxa"/>
            <w:tcBorders>
              <w:top w:val="single" w:sz="6" w:space="0" w:color="auto"/>
              <w:left w:val="single" w:sz="6" w:space="0" w:color="auto"/>
              <w:right w:val="single" w:sz="6" w:space="0" w:color="auto"/>
            </w:tcBorders>
          </w:tcPr>
          <w:p w14:paraId="4459C684"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Lp.</w:t>
            </w:r>
          </w:p>
        </w:tc>
        <w:tc>
          <w:tcPr>
            <w:tcW w:w="2976" w:type="dxa"/>
            <w:tcBorders>
              <w:top w:val="single" w:sz="6" w:space="0" w:color="auto"/>
              <w:right w:val="single" w:sz="4" w:space="0" w:color="auto"/>
            </w:tcBorders>
          </w:tcPr>
          <w:p w14:paraId="432190B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Właściwości</w:t>
            </w:r>
          </w:p>
        </w:tc>
        <w:tc>
          <w:tcPr>
            <w:tcW w:w="1843" w:type="dxa"/>
            <w:tcBorders>
              <w:top w:val="single" w:sz="4" w:space="0" w:color="auto"/>
              <w:right w:val="single" w:sz="4" w:space="0" w:color="auto"/>
            </w:tcBorders>
          </w:tcPr>
          <w:p w14:paraId="79B8AEDD"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Warunki zagęszczenia wg PN-EN 13108-20</w:t>
            </w:r>
          </w:p>
        </w:tc>
        <w:tc>
          <w:tcPr>
            <w:tcW w:w="1701" w:type="dxa"/>
            <w:tcBorders>
              <w:top w:val="single" w:sz="4" w:space="0" w:color="auto"/>
              <w:left w:val="single" w:sz="4" w:space="0" w:color="auto"/>
              <w:bottom w:val="single" w:sz="4" w:space="0" w:color="auto"/>
              <w:right w:val="single" w:sz="4" w:space="0" w:color="auto"/>
            </w:tcBorders>
          </w:tcPr>
          <w:p w14:paraId="3D1948F3"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Wymagania</w:t>
            </w:r>
          </w:p>
          <w:p w14:paraId="0E10651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dla AC 16 W </w:t>
            </w:r>
          </w:p>
          <w:p w14:paraId="260258B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z w:val="18"/>
                <w:szCs w:val="18"/>
              </w:rPr>
              <w:t>KR 1 - KR 2</w:t>
            </w:r>
          </w:p>
        </w:tc>
        <w:tc>
          <w:tcPr>
            <w:tcW w:w="2552" w:type="dxa"/>
            <w:tcBorders>
              <w:top w:val="single" w:sz="6" w:space="0" w:color="auto"/>
              <w:left w:val="single" w:sz="4" w:space="0" w:color="auto"/>
              <w:right w:val="single" w:sz="4" w:space="0" w:color="auto"/>
            </w:tcBorders>
          </w:tcPr>
          <w:p w14:paraId="4312B4B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Metoda i warunki badania</w:t>
            </w:r>
          </w:p>
        </w:tc>
      </w:tr>
      <w:tr w:rsidR="00C32A41" w14:paraId="4740493B" w14:textId="77777777">
        <w:trPr>
          <w:cantSplit/>
          <w:trHeight w:val="629"/>
        </w:trPr>
        <w:tc>
          <w:tcPr>
            <w:tcW w:w="426" w:type="dxa"/>
            <w:tcBorders>
              <w:top w:val="single" w:sz="6" w:space="0" w:color="auto"/>
              <w:left w:val="single" w:sz="6" w:space="0" w:color="auto"/>
              <w:bottom w:val="single" w:sz="6" w:space="0" w:color="auto"/>
            </w:tcBorders>
          </w:tcPr>
          <w:p w14:paraId="2AED908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1.</w:t>
            </w:r>
          </w:p>
        </w:tc>
        <w:tc>
          <w:tcPr>
            <w:tcW w:w="2976" w:type="dxa"/>
            <w:tcBorders>
              <w:top w:val="single" w:sz="6" w:space="0" w:color="auto"/>
              <w:left w:val="single" w:sz="6" w:space="0" w:color="auto"/>
              <w:bottom w:val="single" w:sz="6" w:space="0" w:color="auto"/>
              <w:right w:val="single" w:sz="6" w:space="0" w:color="auto"/>
            </w:tcBorders>
          </w:tcPr>
          <w:p w14:paraId="76CD839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 xml:space="preserve">Zawartość wolnych przestrzeni         </w:t>
            </w:r>
          </w:p>
        </w:tc>
        <w:tc>
          <w:tcPr>
            <w:tcW w:w="1843" w:type="dxa"/>
            <w:tcBorders>
              <w:top w:val="single" w:sz="4" w:space="0" w:color="auto"/>
              <w:left w:val="single" w:sz="6" w:space="0" w:color="auto"/>
              <w:bottom w:val="single" w:sz="6" w:space="0" w:color="auto"/>
              <w:right w:val="single" w:sz="6" w:space="0" w:color="auto"/>
            </w:tcBorders>
          </w:tcPr>
          <w:p w14:paraId="453D68A8"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4" w:space="0" w:color="auto"/>
              <w:left w:val="single" w:sz="6" w:space="0" w:color="auto"/>
              <w:bottom w:val="single" w:sz="6" w:space="0" w:color="auto"/>
              <w:right w:val="single" w:sz="6" w:space="0" w:color="auto"/>
            </w:tcBorders>
          </w:tcPr>
          <w:p w14:paraId="5FE4CF2B"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min 3,0</w:t>
            </w:r>
            <w:r>
              <w:rPr>
                <w:rFonts w:ascii="Arial" w:hAnsi="Arial" w:cs="Arial"/>
                <w:snapToGrid w:val="0"/>
                <w:sz w:val="18"/>
                <w:szCs w:val="18"/>
              </w:rPr>
              <w:t xml:space="preserve"> </w:t>
            </w:r>
          </w:p>
          <w:p w14:paraId="67EC922A"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 V </w:t>
            </w:r>
            <w:r>
              <w:rPr>
                <w:rFonts w:ascii="Arial" w:hAnsi="Arial" w:cs="Arial"/>
                <w:snapToGrid w:val="0"/>
                <w:sz w:val="18"/>
                <w:szCs w:val="18"/>
                <w:vertAlign w:val="subscript"/>
              </w:rPr>
              <w:t>max 6,0</w:t>
            </w:r>
          </w:p>
        </w:tc>
        <w:tc>
          <w:tcPr>
            <w:tcW w:w="2552" w:type="dxa"/>
            <w:tcBorders>
              <w:top w:val="single" w:sz="6" w:space="0" w:color="auto"/>
              <w:left w:val="single" w:sz="6" w:space="0" w:color="auto"/>
              <w:bottom w:val="single" w:sz="6" w:space="0" w:color="auto"/>
              <w:right w:val="single" w:sz="6" w:space="0" w:color="auto"/>
            </w:tcBorders>
          </w:tcPr>
          <w:p w14:paraId="79B0448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4 </w:t>
            </w:r>
          </w:p>
          <w:p w14:paraId="7A41BEC3" w14:textId="77777777" w:rsidR="00C32A41" w:rsidRDefault="00C32A41">
            <w:pPr>
              <w:tabs>
                <w:tab w:val="left" w:pos="1008"/>
                <w:tab w:val="left" w:pos="7459"/>
              </w:tabs>
              <w:jc w:val="center"/>
              <w:rPr>
                <w:rFonts w:ascii="Arial" w:hAnsi="Arial" w:cs="Arial"/>
                <w:snapToGrid w:val="0"/>
                <w:sz w:val="18"/>
                <w:szCs w:val="18"/>
              </w:rPr>
            </w:pPr>
          </w:p>
        </w:tc>
      </w:tr>
      <w:tr w:rsidR="00C32A41" w14:paraId="33C62B80" w14:textId="77777777">
        <w:trPr>
          <w:cantSplit/>
          <w:trHeight w:val="672"/>
        </w:trPr>
        <w:tc>
          <w:tcPr>
            <w:tcW w:w="426" w:type="dxa"/>
            <w:tcBorders>
              <w:top w:val="single" w:sz="6" w:space="0" w:color="auto"/>
              <w:left w:val="single" w:sz="6" w:space="0" w:color="auto"/>
              <w:bottom w:val="single" w:sz="6" w:space="0" w:color="auto"/>
              <w:right w:val="single" w:sz="6" w:space="0" w:color="auto"/>
            </w:tcBorders>
          </w:tcPr>
          <w:p w14:paraId="08464929"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2.</w:t>
            </w:r>
          </w:p>
        </w:tc>
        <w:tc>
          <w:tcPr>
            <w:tcW w:w="2976" w:type="dxa"/>
            <w:tcBorders>
              <w:top w:val="single" w:sz="6" w:space="0" w:color="auto"/>
              <w:left w:val="single" w:sz="6" w:space="0" w:color="auto"/>
              <w:bottom w:val="single" w:sz="6" w:space="0" w:color="auto"/>
              <w:right w:val="single" w:sz="6" w:space="0" w:color="auto"/>
            </w:tcBorders>
          </w:tcPr>
          <w:p w14:paraId="0B714C84" w14:textId="77777777" w:rsidR="00C32A41" w:rsidRDefault="00B721B3">
            <w:pPr>
              <w:tabs>
                <w:tab w:val="left" w:pos="1008"/>
                <w:tab w:val="left" w:pos="7459"/>
              </w:tabs>
              <w:rPr>
                <w:rFonts w:ascii="Arial" w:hAnsi="Arial" w:cs="Arial"/>
                <w:snapToGrid w:val="0"/>
                <w:sz w:val="18"/>
                <w:szCs w:val="18"/>
                <w:vertAlign w:val="subscript"/>
              </w:rPr>
            </w:pPr>
            <w:r>
              <w:rPr>
                <w:rFonts w:ascii="Arial" w:hAnsi="Arial" w:cs="Arial"/>
                <w:snapToGrid w:val="0"/>
                <w:sz w:val="18"/>
                <w:szCs w:val="18"/>
              </w:rPr>
              <w:t>Wolne przestrzenie wypełnione lepiszczem</w:t>
            </w:r>
          </w:p>
        </w:tc>
        <w:tc>
          <w:tcPr>
            <w:tcW w:w="1843" w:type="dxa"/>
            <w:tcBorders>
              <w:top w:val="single" w:sz="6" w:space="0" w:color="auto"/>
              <w:left w:val="single" w:sz="6" w:space="0" w:color="auto"/>
              <w:bottom w:val="single" w:sz="6" w:space="0" w:color="auto"/>
              <w:right w:val="single" w:sz="6" w:space="0" w:color="auto"/>
            </w:tcBorders>
          </w:tcPr>
          <w:p w14:paraId="14911449"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1CC3EE1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60</w:t>
            </w:r>
          </w:p>
          <w:p w14:paraId="2390C8D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VFB </w:t>
            </w:r>
            <w:r>
              <w:rPr>
                <w:rFonts w:ascii="Arial" w:hAnsi="Arial" w:cs="Arial"/>
                <w:snapToGrid w:val="0"/>
                <w:sz w:val="18"/>
                <w:szCs w:val="18"/>
                <w:vertAlign w:val="subscript"/>
              </w:rPr>
              <w:t>min 80</w:t>
            </w:r>
          </w:p>
          <w:p w14:paraId="0475783D" w14:textId="77777777" w:rsidR="00C32A41" w:rsidRDefault="00C32A41">
            <w:pPr>
              <w:tabs>
                <w:tab w:val="left" w:pos="1008"/>
                <w:tab w:val="left" w:pos="7459"/>
              </w:tabs>
              <w:rPr>
                <w:rFonts w:ascii="Arial" w:hAnsi="Arial" w:cs="Arial"/>
                <w:snapToGrid w:val="0"/>
                <w:sz w:val="18"/>
                <w:szCs w:val="18"/>
                <w:vertAlign w:val="subscript"/>
              </w:rPr>
            </w:pPr>
          </w:p>
        </w:tc>
        <w:tc>
          <w:tcPr>
            <w:tcW w:w="2552" w:type="dxa"/>
            <w:tcBorders>
              <w:top w:val="single" w:sz="6" w:space="0" w:color="auto"/>
              <w:left w:val="single" w:sz="6" w:space="0" w:color="auto"/>
              <w:bottom w:val="single" w:sz="6" w:space="0" w:color="auto"/>
              <w:right w:val="single" w:sz="6" w:space="0" w:color="auto"/>
            </w:tcBorders>
          </w:tcPr>
          <w:p w14:paraId="29925C0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6EE073C4" w14:textId="77777777" w:rsidR="00C32A41" w:rsidRDefault="00C32A41">
            <w:pPr>
              <w:tabs>
                <w:tab w:val="left" w:pos="1008"/>
                <w:tab w:val="left" w:pos="7459"/>
              </w:tabs>
              <w:jc w:val="center"/>
              <w:rPr>
                <w:rFonts w:ascii="Arial" w:hAnsi="Arial" w:cs="Arial"/>
                <w:snapToGrid w:val="0"/>
                <w:sz w:val="18"/>
                <w:szCs w:val="18"/>
              </w:rPr>
            </w:pPr>
          </w:p>
        </w:tc>
      </w:tr>
      <w:tr w:rsidR="00C32A41" w14:paraId="63F56301" w14:textId="77777777">
        <w:trPr>
          <w:cantSplit/>
          <w:trHeight w:val="580"/>
        </w:trPr>
        <w:tc>
          <w:tcPr>
            <w:tcW w:w="426" w:type="dxa"/>
            <w:tcBorders>
              <w:top w:val="single" w:sz="6" w:space="0" w:color="auto"/>
              <w:left w:val="single" w:sz="6" w:space="0" w:color="auto"/>
              <w:bottom w:val="single" w:sz="6" w:space="0" w:color="auto"/>
              <w:right w:val="single" w:sz="6" w:space="0" w:color="auto"/>
            </w:tcBorders>
          </w:tcPr>
          <w:p w14:paraId="547FACBC"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3.</w:t>
            </w:r>
          </w:p>
        </w:tc>
        <w:tc>
          <w:tcPr>
            <w:tcW w:w="2976" w:type="dxa"/>
            <w:tcBorders>
              <w:top w:val="single" w:sz="6" w:space="0" w:color="auto"/>
              <w:left w:val="single" w:sz="6" w:space="0" w:color="auto"/>
              <w:bottom w:val="single" w:sz="6" w:space="0" w:color="auto"/>
              <w:right w:val="single" w:sz="6" w:space="0" w:color="auto"/>
            </w:tcBorders>
          </w:tcPr>
          <w:p w14:paraId="41127CF7"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Zawartość wolnych przestrzeni w mieszance mineralnej</w:t>
            </w:r>
          </w:p>
        </w:tc>
        <w:tc>
          <w:tcPr>
            <w:tcW w:w="1843" w:type="dxa"/>
            <w:tcBorders>
              <w:top w:val="single" w:sz="6" w:space="0" w:color="auto"/>
              <w:left w:val="single" w:sz="6" w:space="0" w:color="auto"/>
              <w:bottom w:val="single" w:sz="6" w:space="0" w:color="auto"/>
              <w:right w:val="single" w:sz="6" w:space="0" w:color="auto"/>
            </w:tcBorders>
          </w:tcPr>
          <w:p w14:paraId="7D50F34F"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C.1.2; ubijanie 2x50 uderzeń            </w:t>
            </w:r>
          </w:p>
        </w:tc>
        <w:tc>
          <w:tcPr>
            <w:tcW w:w="1701" w:type="dxa"/>
            <w:tcBorders>
              <w:top w:val="single" w:sz="6" w:space="0" w:color="auto"/>
              <w:left w:val="single" w:sz="6" w:space="0" w:color="auto"/>
              <w:bottom w:val="single" w:sz="6" w:space="0" w:color="auto"/>
              <w:right w:val="single" w:sz="6" w:space="0" w:color="auto"/>
            </w:tcBorders>
          </w:tcPr>
          <w:p w14:paraId="259306E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VMA </w:t>
            </w:r>
            <w:r>
              <w:rPr>
                <w:rFonts w:ascii="Arial" w:hAnsi="Arial" w:cs="Arial"/>
                <w:snapToGrid w:val="0"/>
                <w:sz w:val="18"/>
                <w:szCs w:val="18"/>
                <w:vertAlign w:val="subscript"/>
              </w:rPr>
              <w:t>min 14</w:t>
            </w:r>
          </w:p>
          <w:p w14:paraId="147C804C"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075295D1"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PN-EN 12697-8, p. 5 </w:t>
            </w:r>
          </w:p>
          <w:p w14:paraId="064A1ADE" w14:textId="77777777" w:rsidR="00C32A41" w:rsidRDefault="00C32A41">
            <w:pPr>
              <w:tabs>
                <w:tab w:val="left" w:pos="1008"/>
                <w:tab w:val="left" w:pos="7459"/>
              </w:tabs>
              <w:jc w:val="center"/>
              <w:rPr>
                <w:rFonts w:ascii="Arial" w:hAnsi="Arial" w:cs="Arial"/>
                <w:snapToGrid w:val="0"/>
                <w:sz w:val="18"/>
                <w:szCs w:val="18"/>
              </w:rPr>
            </w:pPr>
          </w:p>
        </w:tc>
      </w:tr>
      <w:tr w:rsidR="00C32A41" w14:paraId="17943BC2" w14:textId="77777777">
        <w:trPr>
          <w:cantSplit/>
          <w:trHeight w:val="349"/>
        </w:trPr>
        <w:tc>
          <w:tcPr>
            <w:tcW w:w="426" w:type="dxa"/>
            <w:tcBorders>
              <w:top w:val="single" w:sz="6" w:space="0" w:color="auto"/>
              <w:left w:val="single" w:sz="6" w:space="0" w:color="auto"/>
              <w:bottom w:val="single" w:sz="6" w:space="0" w:color="auto"/>
              <w:right w:val="single" w:sz="6" w:space="0" w:color="auto"/>
            </w:tcBorders>
          </w:tcPr>
          <w:p w14:paraId="57E40B95"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4.</w:t>
            </w:r>
          </w:p>
        </w:tc>
        <w:tc>
          <w:tcPr>
            <w:tcW w:w="2976" w:type="dxa"/>
            <w:tcBorders>
              <w:top w:val="single" w:sz="6" w:space="0" w:color="auto"/>
              <w:left w:val="single" w:sz="6" w:space="0" w:color="auto"/>
              <w:bottom w:val="single" w:sz="6" w:space="0" w:color="auto"/>
              <w:right w:val="single" w:sz="6" w:space="0" w:color="auto"/>
            </w:tcBorders>
          </w:tcPr>
          <w:p w14:paraId="629D3462" w14:textId="77777777" w:rsidR="00C32A41" w:rsidRDefault="00B721B3">
            <w:pPr>
              <w:tabs>
                <w:tab w:val="left" w:pos="1008"/>
                <w:tab w:val="left" w:pos="7459"/>
              </w:tabs>
              <w:rPr>
                <w:rFonts w:ascii="Arial" w:hAnsi="Arial" w:cs="Arial"/>
                <w:snapToGrid w:val="0"/>
                <w:sz w:val="18"/>
                <w:szCs w:val="18"/>
              </w:rPr>
            </w:pPr>
            <w:r>
              <w:rPr>
                <w:rFonts w:ascii="Arial" w:hAnsi="Arial" w:cs="Arial"/>
                <w:snapToGrid w:val="0"/>
                <w:sz w:val="18"/>
                <w:szCs w:val="18"/>
              </w:rPr>
              <w:t>Odporność na działanie wody</w:t>
            </w:r>
          </w:p>
        </w:tc>
        <w:tc>
          <w:tcPr>
            <w:tcW w:w="1843" w:type="dxa"/>
            <w:tcBorders>
              <w:top w:val="single" w:sz="6" w:space="0" w:color="auto"/>
              <w:left w:val="single" w:sz="6" w:space="0" w:color="auto"/>
              <w:bottom w:val="single" w:sz="6" w:space="0" w:color="auto"/>
              <w:right w:val="single" w:sz="6" w:space="0" w:color="auto"/>
            </w:tcBorders>
          </w:tcPr>
          <w:p w14:paraId="43EF8AF6"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C.1.1; ubijanie 2x35 uderzeń            </w:t>
            </w:r>
          </w:p>
        </w:tc>
        <w:tc>
          <w:tcPr>
            <w:tcW w:w="1701" w:type="dxa"/>
            <w:tcBorders>
              <w:top w:val="single" w:sz="6" w:space="0" w:color="auto"/>
              <w:left w:val="single" w:sz="6" w:space="0" w:color="auto"/>
              <w:bottom w:val="single" w:sz="6" w:space="0" w:color="auto"/>
              <w:right w:val="single" w:sz="6" w:space="0" w:color="auto"/>
            </w:tcBorders>
          </w:tcPr>
          <w:p w14:paraId="57B2E6C4"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 xml:space="preserve">ITSR </w:t>
            </w:r>
            <w:r>
              <w:rPr>
                <w:rFonts w:ascii="Arial" w:hAnsi="Arial" w:cs="Arial"/>
                <w:snapToGrid w:val="0"/>
                <w:sz w:val="18"/>
                <w:szCs w:val="18"/>
                <w:vertAlign w:val="subscript"/>
              </w:rPr>
              <w:t>80</w:t>
            </w:r>
          </w:p>
          <w:p w14:paraId="054BE086" w14:textId="77777777" w:rsidR="00C32A41" w:rsidRDefault="00C32A41">
            <w:pPr>
              <w:tabs>
                <w:tab w:val="left" w:pos="1008"/>
                <w:tab w:val="left" w:pos="7459"/>
              </w:tabs>
              <w:jc w:val="center"/>
              <w:rPr>
                <w:rFonts w:ascii="Arial" w:hAnsi="Arial" w:cs="Arial"/>
                <w:snapToGrid w:val="0"/>
                <w:sz w:val="18"/>
                <w:szCs w:val="18"/>
              </w:rPr>
            </w:pPr>
          </w:p>
        </w:tc>
        <w:tc>
          <w:tcPr>
            <w:tcW w:w="2552" w:type="dxa"/>
            <w:tcBorders>
              <w:top w:val="single" w:sz="6" w:space="0" w:color="auto"/>
              <w:left w:val="single" w:sz="6" w:space="0" w:color="auto"/>
              <w:bottom w:val="single" w:sz="6" w:space="0" w:color="auto"/>
              <w:right w:val="single" w:sz="6" w:space="0" w:color="auto"/>
            </w:tcBorders>
          </w:tcPr>
          <w:p w14:paraId="4AF116B2"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PN-EN 12697-12, lecz przechowywanie w 40</w:t>
            </w:r>
            <w:r>
              <w:rPr>
                <w:rFonts w:ascii="Arial" w:hAnsi="Arial" w:cs="Arial"/>
                <w:snapToGrid w:val="0"/>
                <w:sz w:val="18"/>
                <w:szCs w:val="18"/>
                <w:vertAlign w:val="superscript"/>
              </w:rPr>
              <w:t>0</w:t>
            </w:r>
            <w:r>
              <w:rPr>
                <w:rFonts w:ascii="Arial" w:hAnsi="Arial" w:cs="Arial"/>
                <w:snapToGrid w:val="0"/>
                <w:sz w:val="18"/>
                <w:szCs w:val="18"/>
              </w:rPr>
              <w:t xml:space="preserve">C </w:t>
            </w:r>
            <w:r>
              <w:rPr>
                <w:rFonts w:ascii="Arial" w:hAnsi="Arial" w:cs="Arial"/>
                <w:snapToGrid w:val="0"/>
                <w:sz w:val="18"/>
                <w:szCs w:val="18"/>
              </w:rPr>
              <w:br/>
              <w:t xml:space="preserve">z jednym cyklem zamrażania, </w:t>
            </w:r>
          </w:p>
          <w:p w14:paraId="1E009657" w14:textId="77777777" w:rsidR="00C32A41" w:rsidRDefault="00B721B3">
            <w:pPr>
              <w:tabs>
                <w:tab w:val="left" w:pos="1008"/>
                <w:tab w:val="left" w:pos="7459"/>
              </w:tabs>
              <w:jc w:val="center"/>
              <w:rPr>
                <w:rFonts w:ascii="Arial" w:hAnsi="Arial" w:cs="Arial"/>
                <w:snapToGrid w:val="0"/>
                <w:sz w:val="18"/>
                <w:szCs w:val="18"/>
              </w:rPr>
            </w:pPr>
            <w:r>
              <w:rPr>
                <w:rFonts w:ascii="Arial" w:hAnsi="Arial" w:cs="Arial"/>
                <w:snapToGrid w:val="0"/>
                <w:sz w:val="18"/>
                <w:szCs w:val="18"/>
              </w:rPr>
              <w:t>badanie w 15</w:t>
            </w:r>
            <w:r>
              <w:rPr>
                <w:rFonts w:ascii="Arial" w:hAnsi="Arial" w:cs="Arial"/>
                <w:snapToGrid w:val="0"/>
                <w:sz w:val="18"/>
                <w:szCs w:val="18"/>
                <w:vertAlign w:val="superscript"/>
              </w:rPr>
              <w:t>0</w:t>
            </w:r>
            <w:r>
              <w:rPr>
                <w:rFonts w:ascii="Arial" w:hAnsi="Arial" w:cs="Arial"/>
                <w:snapToGrid w:val="0"/>
                <w:sz w:val="18"/>
                <w:szCs w:val="18"/>
              </w:rPr>
              <w:t>C</w:t>
            </w:r>
          </w:p>
        </w:tc>
      </w:tr>
    </w:tbl>
    <w:p w14:paraId="2CC54523" w14:textId="77777777" w:rsidR="00C32A41" w:rsidRDefault="00C32A41">
      <w:pPr>
        <w:tabs>
          <w:tab w:val="left" w:pos="0"/>
          <w:tab w:val="right" w:pos="8809"/>
        </w:tabs>
        <w:jc w:val="both"/>
        <w:rPr>
          <w:rFonts w:ascii="Arial" w:hAnsi="Arial" w:cs="Arial"/>
          <w:sz w:val="18"/>
          <w:szCs w:val="18"/>
        </w:rPr>
      </w:pPr>
    </w:p>
    <w:p w14:paraId="26FA2A61" w14:textId="77777777" w:rsidR="00C32A41" w:rsidRDefault="00C32A41">
      <w:pPr>
        <w:tabs>
          <w:tab w:val="left" w:pos="0"/>
          <w:tab w:val="right" w:pos="8809"/>
        </w:tabs>
        <w:jc w:val="both"/>
        <w:rPr>
          <w:rFonts w:ascii="Arial" w:hAnsi="Arial" w:cs="Arial"/>
          <w:sz w:val="18"/>
          <w:szCs w:val="18"/>
        </w:rPr>
      </w:pPr>
    </w:p>
    <w:p w14:paraId="66389CD5" w14:textId="77777777" w:rsidR="00C32A41" w:rsidRDefault="00C32A41">
      <w:pPr>
        <w:tabs>
          <w:tab w:val="left" w:pos="0"/>
          <w:tab w:val="right" w:pos="8809"/>
        </w:tabs>
        <w:jc w:val="both"/>
        <w:rPr>
          <w:rFonts w:ascii="Arial" w:hAnsi="Arial" w:cs="Arial"/>
          <w:sz w:val="18"/>
          <w:szCs w:val="18"/>
        </w:rPr>
      </w:pPr>
    </w:p>
    <w:p w14:paraId="24E5902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5.3. Wytwarzanie mieszanki mineralno-asfaltowej</w:t>
      </w:r>
    </w:p>
    <w:p w14:paraId="15D86D9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lastRenderedPageBreak/>
        <w:t xml:space="preserve">Mieszankę mineralno-asfaltową należy wytwarzać na gorąco w otaczarce (zespole maszyn i urządzeń dozowania, podgrzewania i mieszania składników oraz przechowywania gotowej mieszanki). </w:t>
      </w:r>
    </w:p>
    <w:p w14:paraId="2AF19EB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Dozowanie składników mieszanki w otaczarkach, w tym także wstępne, powinno być zautomatyzowane    i zgodne z receptą roboczą, a urządzenia do dozowania składników oraz pomiaru temperatury powinny być okresowo sprawdzane.</w:t>
      </w:r>
    </w:p>
    <w:p w14:paraId="126195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Lepiszcze asfaltowe należy przechowywać w zbiorniku z pośrednim systemem ogrzewania, z układem termostatowania zapewniającym utrzymanie żądanej temperatury z dokładnością do </w:t>
      </w:r>
      <w:r>
        <w:rPr>
          <w:rFonts w:ascii="Arial" w:hAnsi="Arial" w:cs="Arial"/>
          <w:sz w:val="18"/>
          <w:szCs w:val="18"/>
        </w:rPr>
        <w:sym w:font="Symbol" w:char="00B1"/>
      </w:r>
      <w:r>
        <w:rPr>
          <w:rFonts w:ascii="Arial" w:hAnsi="Arial" w:cs="Arial"/>
          <w:sz w:val="18"/>
          <w:szCs w:val="18"/>
        </w:rPr>
        <w:t>5</w:t>
      </w:r>
      <w:r>
        <w:rPr>
          <w:rFonts w:ascii="Arial" w:hAnsi="Arial" w:cs="Arial"/>
          <w:sz w:val="18"/>
          <w:szCs w:val="18"/>
          <w:vertAlign w:val="superscript"/>
        </w:rPr>
        <w:t>0</w:t>
      </w:r>
      <w:r>
        <w:rPr>
          <w:rFonts w:ascii="Arial" w:hAnsi="Arial" w:cs="Arial"/>
          <w:sz w:val="18"/>
          <w:szCs w:val="18"/>
        </w:rPr>
        <w:t xml:space="preserve">C.                  </w:t>
      </w:r>
    </w:p>
    <w:p w14:paraId="44AEB8D0" w14:textId="77777777" w:rsidR="00C32A41" w:rsidRDefault="00B721B3">
      <w:pPr>
        <w:tabs>
          <w:tab w:val="left" w:pos="0"/>
          <w:tab w:val="right" w:pos="8809"/>
        </w:tabs>
        <w:ind w:firstLine="567"/>
        <w:jc w:val="both"/>
        <w:rPr>
          <w:rFonts w:ascii="Arial" w:hAnsi="Arial" w:cs="Arial"/>
          <w:snapToGrid w:val="0"/>
          <w:color w:val="000000"/>
          <w:sz w:val="18"/>
          <w:szCs w:val="18"/>
        </w:rPr>
      </w:pPr>
      <w:r>
        <w:rPr>
          <w:rFonts w:ascii="Arial" w:hAnsi="Arial" w:cs="Arial"/>
          <w:sz w:val="18"/>
          <w:szCs w:val="18"/>
        </w:rPr>
        <w:t>Temperatura lepiszcza w zbiorniku magazynowym (roboczym) nie może przekraczać 180° dla asfaltu drogowego 50/70.</w:t>
      </w:r>
    </w:p>
    <w:p w14:paraId="7DF4D63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Kruszywo powinno być wysuszone i podgrzane tak, aby mieszanka mineralna uzyskała temperaturę właściwą do otoczenia lepiszczem asfaltowym. </w:t>
      </w:r>
    </w:p>
    <w:p w14:paraId="34CA968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i najwyższa temperatura mieszanki AC 16 W:</w:t>
      </w:r>
    </w:p>
    <w:p w14:paraId="5AFCB86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 asfalt 50/70 -  od 140° do 180°. </w:t>
      </w:r>
    </w:p>
    <w:p w14:paraId="2C3AB2E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mineralnej betonu asfaltowego AC 16 W nie powinna być wyższa o więcej niż       30</w:t>
      </w:r>
      <w:r>
        <w:rPr>
          <w:rFonts w:ascii="Arial" w:hAnsi="Arial" w:cs="Arial"/>
          <w:sz w:val="18"/>
          <w:szCs w:val="18"/>
          <w:vertAlign w:val="superscript"/>
        </w:rPr>
        <w:t>0</w:t>
      </w:r>
      <w:r>
        <w:rPr>
          <w:rFonts w:ascii="Arial" w:hAnsi="Arial" w:cs="Arial"/>
          <w:sz w:val="18"/>
          <w:szCs w:val="18"/>
        </w:rPr>
        <w:t>C od najwyższej temperatury mieszanki mineralno-asfaltowej.</w:t>
      </w:r>
    </w:p>
    <w:p w14:paraId="62ED912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Najniższa temperatura dotyczy mieszanki mineralno-asfaltowej dostarczonej na miejsce wbudowania,               a najwyższa dotyczy mieszanki mineralno-asfaltowej bezpośrednio po wytworzeniu w wytwórni.</w:t>
      </w:r>
    </w:p>
    <w:p w14:paraId="4EE61A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Sposób i czas mieszania składników mieszanki mineralno-asfaltowej powinny zapewnić równomierne otoczenie kruszywa lepiszczem asfaltowym.</w:t>
      </w:r>
    </w:p>
    <w:p w14:paraId="6C9CF736"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Należy prowadzić Zakładową Kontrolę Produkcji (ZKP), zgodnie z PN-EN 13108-21 i oceniać zgodność produkowanej mieszanki mineralno-asfaltową wg wymagań podanych w WT-2 Nawierzchnie asfaltowe 2014.</w:t>
      </w:r>
    </w:p>
    <w:p w14:paraId="5CC4CD0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Mieszanka mineralno-asfaltowa przegrzana (z oznakami niebieskiego dymu w czasie wytwarzania) oraz o temperaturze niższej od wymaganej powinna być traktowana jako odpad produkcyjny.</w:t>
      </w:r>
    </w:p>
    <w:p w14:paraId="04FB3E1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Dla wyprodukowanej mieszanki mineralno-asfaltowej producent powinien wystawić deklarację zgodności. Deklaracja powinna zawierać:</w:t>
      </w:r>
    </w:p>
    <w:p w14:paraId="358903EB"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nazwę i adres producenta oraz miejsce produkcji,</w:t>
      </w:r>
    </w:p>
    <w:p w14:paraId="64681DDE"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opis wyrobu (typ, oznaczenie, zastosowanie, itp.)</w:t>
      </w:r>
    </w:p>
    <w:p w14:paraId="094EC324"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warunki, którym odpowiada wyrób tj. odniesienie do niniejszych wymagań oraz obowiązujących norm,</w:t>
      </w:r>
    </w:p>
    <w:p w14:paraId="2DA0E85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szczególne warunki stosowania,</w:t>
      </w:r>
    </w:p>
    <w:p w14:paraId="10FEF8A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numer dołączonego certyfikatu Zakładowej Kontroli Produkcji</w:t>
      </w:r>
    </w:p>
    <w:p w14:paraId="2096C3DD" w14:textId="77777777" w:rsidR="00C32A41" w:rsidRDefault="00B721B3">
      <w:pPr>
        <w:numPr>
          <w:ilvl w:val="0"/>
          <w:numId w:val="24"/>
        </w:numPr>
        <w:tabs>
          <w:tab w:val="left" w:pos="0"/>
          <w:tab w:val="right" w:pos="8809"/>
        </w:tabs>
        <w:ind w:left="284" w:hanging="284"/>
        <w:jc w:val="both"/>
        <w:rPr>
          <w:rFonts w:ascii="Arial" w:hAnsi="Arial" w:cs="Arial"/>
          <w:sz w:val="18"/>
          <w:szCs w:val="18"/>
        </w:rPr>
      </w:pPr>
      <w:r>
        <w:rPr>
          <w:rFonts w:ascii="Arial" w:hAnsi="Arial" w:cs="Arial"/>
          <w:sz w:val="18"/>
          <w:szCs w:val="18"/>
        </w:rPr>
        <w:t>nazwisko, stanowisko osoby upoważnionej do podpisania deklaracji w imieniu producenta.</w:t>
      </w:r>
    </w:p>
    <w:p w14:paraId="52E4C5E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ma obowiązek informować Nadzór o aktualnym PPZ (Produkcyjny Poziom Zgodności) osiąganym przez WMB w danym tygodniu.</w:t>
      </w:r>
    </w:p>
    <w:p w14:paraId="2D894035" w14:textId="77777777" w:rsidR="00C32A41" w:rsidRDefault="00C32A41">
      <w:pPr>
        <w:tabs>
          <w:tab w:val="left" w:pos="0"/>
          <w:tab w:val="right" w:pos="8809"/>
        </w:tabs>
        <w:ind w:firstLine="567"/>
        <w:jc w:val="both"/>
        <w:rPr>
          <w:rFonts w:ascii="Arial" w:hAnsi="Arial" w:cs="Arial"/>
          <w:sz w:val="18"/>
          <w:szCs w:val="18"/>
        </w:rPr>
      </w:pPr>
    </w:p>
    <w:p w14:paraId="0570EC7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5.4. Przygotowanie podłoża</w:t>
      </w:r>
    </w:p>
    <w:p w14:paraId="582BBE49"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Podłożem dla warstwy wiążącej jest stara, częściowo sfrezowana istniejąca nawierzchnia oraz nowo wykonana warstwa podbudowy zasadniczej.</w:t>
      </w:r>
    </w:p>
    <w:p w14:paraId="212FCD7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Podłoże powinno być na całej powierzchni:</w:t>
      </w:r>
    </w:p>
    <w:p w14:paraId="41E91023"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ustabilizowane i nośne,</w:t>
      </w:r>
    </w:p>
    <w:p w14:paraId="251CEF60"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czyste, bez zanieczyszczeń lub pozostałości luźnego kruszywa.</w:t>
      </w:r>
    </w:p>
    <w:p w14:paraId="6217F57D"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wyprofilowane, równe i bez kolein</w:t>
      </w:r>
    </w:p>
    <w:p w14:paraId="4C319E6A" w14:textId="77777777" w:rsidR="00C32A41" w:rsidRDefault="00B721B3">
      <w:pPr>
        <w:numPr>
          <w:ilvl w:val="0"/>
          <w:numId w:val="25"/>
        </w:numPr>
        <w:tabs>
          <w:tab w:val="left" w:pos="0"/>
          <w:tab w:val="right" w:pos="8809"/>
        </w:tabs>
        <w:ind w:left="284" w:hanging="284"/>
        <w:jc w:val="both"/>
        <w:rPr>
          <w:rFonts w:ascii="Arial" w:hAnsi="Arial" w:cs="Arial"/>
          <w:sz w:val="18"/>
          <w:szCs w:val="18"/>
        </w:rPr>
      </w:pPr>
      <w:r>
        <w:rPr>
          <w:rFonts w:ascii="Arial" w:hAnsi="Arial" w:cs="Arial"/>
          <w:sz w:val="18"/>
          <w:szCs w:val="18"/>
        </w:rPr>
        <w:t xml:space="preserve">suche. </w:t>
      </w:r>
    </w:p>
    <w:p w14:paraId="269738D4"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Przed ułożeniem warstw z AC 16 W, podłoże należy skropić zgodnie z STWiORB D-04.03.01.00. „Oczyszczenie i skropienie warstw konstrukcyjnych”. Powierzchnie czołowe włazów, wpustów itp. urządzeń powinny być pokryte materiałem uszczelniającym zaakceptowanym przez Inspektora Nadzoru.</w:t>
      </w:r>
    </w:p>
    <w:p w14:paraId="126BDB36" w14:textId="77777777" w:rsidR="00C32A41" w:rsidRDefault="00C32A41">
      <w:pPr>
        <w:tabs>
          <w:tab w:val="left" w:pos="0"/>
          <w:tab w:val="right" w:pos="8809"/>
        </w:tabs>
        <w:jc w:val="both"/>
        <w:rPr>
          <w:rFonts w:ascii="Arial" w:hAnsi="Arial" w:cs="Arial"/>
          <w:sz w:val="18"/>
          <w:szCs w:val="18"/>
        </w:rPr>
      </w:pPr>
    </w:p>
    <w:p w14:paraId="4EC550F3"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5.5. Połączenia międzywarstwowe</w:t>
      </w:r>
    </w:p>
    <w:p w14:paraId="02BF6C2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Połączenia międzywarstwowe powinny być wykonane zgodnie z STWiORB D-04.03.01.00.  </w:t>
      </w:r>
    </w:p>
    <w:p w14:paraId="04A58B10"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W celu uzyskania połączenia między warstwami nawierzchni zaleca się podłoże pod wykonywaną warstwę skropić emulsją asfaltową zgodną z STWiORB D-04.03.01.00. </w:t>
      </w:r>
    </w:p>
    <w:p w14:paraId="5DD48555"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3D0BF845"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 xml:space="preserve">5.6. Warunki przystąpienia do robót </w:t>
      </w:r>
    </w:p>
    <w:p w14:paraId="0F4036E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Nie wolno wbudowywać mieszanki AC 16 W gdy na podłożu tworzy się zamknięty film wodny.</w:t>
      </w:r>
    </w:p>
    <w:p w14:paraId="2D87DCF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otoczenia w ciągu doby nie powinna być niższa niż podana w Tablicy 5:</w:t>
      </w:r>
    </w:p>
    <w:p w14:paraId="5035CD45" w14:textId="77777777" w:rsidR="00C32A41" w:rsidRDefault="00C32A41">
      <w:pPr>
        <w:tabs>
          <w:tab w:val="left" w:pos="0"/>
          <w:tab w:val="right" w:pos="8809"/>
        </w:tabs>
        <w:jc w:val="both"/>
        <w:rPr>
          <w:rFonts w:ascii="Arial" w:hAnsi="Arial" w:cs="Arial"/>
          <w:sz w:val="18"/>
          <w:szCs w:val="18"/>
        </w:rPr>
      </w:pPr>
    </w:p>
    <w:p w14:paraId="3B10B778"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5.</w:t>
      </w:r>
    </w:p>
    <w:p w14:paraId="0B5B438C" w14:textId="77777777" w:rsidR="00C32A41" w:rsidRDefault="00C32A41">
      <w:pPr>
        <w:tabs>
          <w:tab w:val="left" w:pos="0"/>
          <w:tab w:val="right" w:pos="8809"/>
        </w:tabs>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2655"/>
        <w:gridCol w:w="2311"/>
      </w:tblGrid>
      <w:tr w:rsidR="00C32A41" w14:paraId="2E03A2E5" w14:textId="77777777">
        <w:tc>
          <w:tcPr>
            <w:tcW w:w="4097" w:type="dxa"/>
            <w:vMerge w:val="restart"/>
          </w:tcPr>
          <w:p w14:paraId="473B1A3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Rodzaj robót</w:t>
            </w:r>
          </w:p>
        </w:tc>
        <w:tc>
          <w:tcPr>
            <w:tcW w:w="4966" w:type="dxa"/>
            <w:gridSpan w:val="2"/>
          </w:tcPr>
          <w:p w14:paraId="416A81D5"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Minimalna temperatura otoczenia [</w:t>
            </w:r>
            <w:r>
              <w:rPr>
                <w:rFonts w:ascii="Arial" w:hAnsi="Arial" w:cs="Arial"/>
                <w:sz w:val="18"/>
                <w:szCs w:val="18"/>
                <w:vertAlign w:val="superscript"/>
              </w:rPr>
              <w:t>0</w:t>
            </w:r>
            <w:r>
              <w:rPr>
                <w:rFonts w:ascii="Arial" w:hAnsi="Arial" w:cs="Arial"/>
                <w:sz w:val="18"/>
                <w:szCs w:val="18"/>
              </w:rPr>
              <w:t>C]</w:t>
            </w:r>
          </w:p>
        </w:tc>
      </w:tr>
      <w:tr w:rsidR="00C32A41" w14:paraId="0637D8BE" w14:textId="77777777">
        <w:tc>
          <w:tcPr>
            <w:tcW w:w="4097" w:type="dxa"/>
            <w:vMerge/>
          </w:tcPr>
          <w:p w14:paraId="5C8CEEDA" w14:textId="77777777" w:rsidR="00C32A41" w:rsidRDefault="00C32A41">
            <w:pPr>
              <w:tabs>
                <w:tab w:val="left" w:pos="0"/>
                <w:tab w:val="right" w:pos="8809"/>
              </w:tabs>
              <w:jc w:val="both"/>
              <w:rPr>
                <w:rFonts w:ascii="Arial" w:hAnsi="Arial" w:cs="Arial"/>
                <w:sz w:val="18"/>
                <w:szCs w:val="18"/>
              </w:rPr>
            </w:pPr>
          </w:p>
        </w:tc>
        <w:tc>
          <w:tcPr>
            <w:tcW w:w="2655" w:type="dxa"/>
          </w:tcPr>
          <w:p w14:paraId="25B3FBDC"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przed przystąpieniem do robót</w:t>
            </w:r>
          </w:p>
        </w:tc>
        <w:tc>
          <w:tcPr>
            <w:tcW w:w="2311" w:type="dxa"/>
          </w:tcPr>
          <w:p w14:paraId="04D1F88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 czasie robót</w:t>
            </w:r>
          </w:p>
        </w:tc>
      </w:tr>
      <w:tr w:rsidR="00C32A41" w14:paraId="77EF1DD2" w14:textId="77777777">
        <w:tc>
          <w:tcPr>
            <w:tcW w:w="4097" w:type="dxa"/>
          </w:tcPr>
          <w:p w14:paraId="27829D0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warstwa wiążąca </w:t>
            </w:r>
          </w:p>
        </w:tc>
        <w:tc>
          <w:tcPr>
            <w:tcW w:w="2655" w:type="dxa"/>
          </w:tcPr>
          <w:p w14:paraId="58CE211A" w14:textId="77777777" w:rsidR="00C32A41" w:rsidRDefault="00B721B3">
            <w:pPr>
              <w:jc w:val="center"/>
              <w:rPr>
                <w:rFonts w:ascii="Arial" w:hAnsi="Arial" w:cs="Arial"/>
                <w:sz w:val="18"/>
                <w:szCs w:val="18"/>
              </w:rPr>
            </w:pPr>
            <w:r>
              <w:rPr>
                <w:rFonts w:ascii="Arial" w:hAnsi="Arial" w:cs="Arial"/>
                <w:sz w:val="18"/>
                <w:szCs w:val="18"/>
              </w:rPr>
              <w:t>± 10</w:t>
            </w:r>
          </w:p>
        </w:tc>
        <w:tc>
          <w:tcPr>
            <w:tcW w:w="2311" w:type="dxa"/>
          </w:tcPr>
          <w:p w14:paraId="76D8D84E" w14:textId="77777777" w:rsidR="00C32A41" w:rsidRDefault="00B721B3">
            <w:pPr>
              <w:jc w:val="center"/>
              <w:rPr>
                <w:rFonts w:ascii="Arial" w:hAnsi="Arial" w:cs="Arial"/>
                <w:sz w:val="18"/>
                <w:szCs w:val="18"/>
              </w:rPr>
            </w:pPr>
            <w:r>
              <w:rPr>
                <w:rFonts w:ascii="Arial" w:hAnsi="Arial" w:cs="Arial"/>
                <w:sz w:val="18"/>
                <w:szCs w:val="18"/>
              </w:rPr>
              <w:t>± 10</w:t>
            </w:r>
          </w:p>
        </w:tc>
      </w:tr>
    </w:tbl>
    <w:p w14:paraId="2B57FA4D" w14:textId="77777777" w:rsidR="00C32A41" w:rsidRDefault="00C32A41">
      <w:pPr>
        <w:tabs>
          <w:tab w:val="left" w:pos="0"/>
          <w:tab w:val="right" w:pos="8809"/>
        </w:tabs>
        <w:jc w:val="both"/>
        <w:rPr>
          <w:rFonts w:ascii="Arial" w:hAnsi="Arial" w:cs="Arial"/>
          <w:sz w:val="18"/>
          <w:szCs w:val="18"/>
        </w:rPr>
      </w:pPr>
    </w:p>
    <w:p w14:paraId="692A1CE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powietrza powinna być mierzona co najmniej 3 razy dziennie: przed przystąpieniem do robót oraz podczas ich wykonywania w okresach równomiernie rozłożonych w planowanym czasie realizacji dziennej działki roboczej.</w:t>
      </w:r>
    </w:p>
    <w:p w14:paraId="0FA4E92C"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5.7. Próba technologiczna i odcinek próbny</w:t>
      </w:r>
    </w:p>
    <w:p w14:paraId="449209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lastRenderedPageBreak/>
        <w:t xml:space="preserve">Ustalony skład wejściowy mieszanki mineralno-asfaltowej powinien być sprawdzony przed ostatecznym zastosowaniem w warunkach budowy, poprzez wykonanie próby technologicznej i odcinka próbnego. </w:t>
      </w:r>
    </w:p>
    <w:p w14:paraId="3182C55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Próba technologiczna ma na celu sprawdzenie zgodności właściwości wyprodukowanej mieszanki mineralno-asfaltowej z receptą.</w:t>
      </w:r>
    </w:p>
    <w:p w14:paraId="00D99F0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o długości co najmniej 50 mb powinien być wykonany przez Wykonawcę w warunkach zbliżonych do warunków budowy w celu sprawdzenia sprzętu i uzyskanych parametrów technicznych robót określonych w dokumentacji projektowej.</w:t>
      </w:r>
    </w:p>
    <w:p w14:paraId="37B5C1A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Co najmniej na 3 dni przed rozpoczęciem robót Wykonawca powinien wykonać odcinek próbny w celu:</w:t>
      </w:r>
    </w:p>
    <w:p w14:paraId="52D21647"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stwierdzenia czy użyty sprzęt jest właściwy,</w:t>
      </w:r>
    </w:p>
    <w:p w14:paraId="60AD9076"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grubości warstwy mineralno-asfaltowej przed zagęszczeniem, koniecznej do uzyskania wymaganej w dokumentacji projektowej grubości warstwy,</w:t>
      </w:r>
    </w:p>
    <w:p w14:paraId="7D8BE391" w14:textId="77777777" w:rsidR="00C32A41" w:rsidRDefault="00B721B3">
      <w:pPr>
        <w:numPr>
          <w:ilvl w:val="0"/>
          <w:numId w:val="26"/>
        </w:numPr>
        <w:tabs>
          <w:tab w:val="clear" w:pos="720"/>
          <w:tab w:val="left" w:pos="0"/>
          <w:tab w:val="num" w:pos="284"/>
          <w:tab w:val="right" w:pos="8809"/>
        </w:tabs>
        <w:ind w:left="284" w:hanging="284"/>
        <w:jc w:val="both"/>
        <w:rPr>
          <w:rFonts w:ascii="Arial" w:hAnsi="Arial" w:cs="Arial"/>
          <w:sz w:val="18"/>
          <w:szCs w:val="18"/>
        </w:rPr>
      </w:pPr>
      <w:r>
        <w:rPr>
          <w:rFonts w:ascii="Arial" w:hAnsi="Arial" w:cs="Arial"/>
          <w:sz w:val="18"/>
          <w:szCs w:val="18"/>
        </w:rPr>
        <w:t>określenia potrzebnej ilości przejść walców dla uzyskania prawidłowego zagęszczenia warstwy.</w:t>
      </w:r>
    </w:p>
    <w:p w14:paraId="7AA636A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Do takiej próby Wykonawca użyje takich materiałów oraz sprzętu, jakie będą stosowane do wykonania warstwy wiążącej.</w:t>
      </w:r>
    </w:p>
    <w:p w14:paraId="558C4E3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Odcinek próbny powinien być zlokalizowany w miejscu wskazanym przez Inspektora Nadzoru.</w:t>
      </w:r>
    </w:p>
    <w:p w14:paraId="02A12C7C"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Wykonawca może przystąpić do wykonania warstwy nawierzchni po zaakceptowaniu odcinka próbnego przez Inspektora Nadzoru.</w:t>
      </w:r>
    </w:p>
    <w:p w14:paraId="7C3453BB" w14:textId="77777777" w:rsidR="00C32A41" w:rsidRDefault="00C32A41">
      <w:pPr>
        <w:tabs>
          <w:tab w:val="left" w:pos="0"/>
          <w:tab w:val="right" w:pos="8809"/>
        </w:tabs>
        <w:ind w:firstLine="567"/>
        <w:jc w:val="both"/>
        <w:rPr>
          <w:rFonts w:ascii="Arial" w:hAnsi="Arial" w:cs="Arial"/>
          <w:sz w:val="18"/>
          <w:szCs w:val="18"/>
        </w:rPr>
      </w:pPr>
    </w:p>
    <w:p w14:paraId="7E7D2019"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5.8. Wbudowanie i zagęszczanie warstwy z AC 16 W</w:t>
      </w:r>
    </w:p>
    <w:p w14:paraId="214556E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Układanie mieszanki może odbywać przy użyciu mechanicznej rozkładarki wyposażonej w układ automatycznego sterowania grubości warstwy i utrzymywania niwelety zgodnie z dokumentacją projektową. W miejscach niedostępnych dla rozkładarki dopuszcza się ręczne ułożenie mieszanki przy ścisłym zachowaniu reżimów technologicznych. </w:t>
      </w:r>
    </w:p>
    <w:p w14:paraId="7C2353B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Temperatura mieszanki nie powinna być niższa od minimalnej temperatury podanej w pkt 5.3.</w:t>
      </w:r>
    </w:p>
    <w:p w14:paraId="7250CE4E"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Właściwości wykonanej warstwy powinny spełniać warunki podane w tablicy 6.</w:t>
      </w:r>
    </w:p>
    <w:p w14:paraId="2107735C" w14:textId="77777777" w:rsidR="00C32A41" w:rsidRDefault="00C32A41">
      <w:pPr>
        <w:tabs>
          <w:tab w:val="left" w:pos="0"/>
          <w:tab w:val="right" w:pos="8809"/>
        </w:tabs>
        <w:jc w:val="both"/>
        <w:rPr>
          <w:rFonts w:ascii="Arial" w:hAnsi="Arial" w:cs="Arial"/>
          <w:sz w:val="18"/>
          <w:szCs w:val="18"/>
        </w:rPr>
      </w:pPr>
    </w:p>
    <w:p w14:paraId="35E14EFD"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Tablica 6. Właściwości warstwy.</w:t>
      </w:r>
    </w:p>
    <w:p w14:paraId="1FA00D17" w14:textId="77777777" w:rsidR="00C32A41" w:rsidRDefault="00C32A41">
      <w:pPr>
        <w:tabs>
          <w:tab w:val="left" w:pos="0"/>
          <w:tab w:val="right" w:pos="8809"/>
        </w:tabs>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297"/>
        <w:gridCol w:w="2693"/>
      </w:tblGrid>
      <w:tr w:rsidR="00C32A41" w14:paraId="14376717" w14:textId="77777777">
        <w:tc>
          <w:tcPr>
            <w:tcW w:w="2835" w:type="dxa"/>
            <w:vAlign w:val="center"/>
          </w:tcPr>
          <w:p w14:paraId="5A22E24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Typ i wymiar mieszanki</w:t>
            </w:r>
          </w:p>
        </w:tc>
        <w:tc>
          <w:tcPr>
            <w:tcW w:w="2297" w:type="dxa"/>
            <w:vAlign w:val="center"/>
          </w:tcPr>
          <w:p w14:paraId="074F9D1B"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Wskaźnik zagęszczenia [%]</w:t>
            </w:r>
          </w:p>
        </w:tc>
        <w:tc>
          <w:tcPr>
            <w:tcW w:w="2693" w:type="dxa"/>
            <w:vAlign w:val="center"/>
          </w:tcPr>
          <w:p w14:paraId="144ACA1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Zawartość wolnych przestrzeni w warstwie [%(v/v)]</w:t>
            </w:r>
          </w:p>
        </w:tc>
      </w:tr>
      <w:tr w:rsidR="00C32A41" w14:paraId="05E1426C" w14:textId="77777777">
        <w:trPr>
          <w:trHeight w:val="350"/>
        </w:trPr>
        <w:tc>
          <w:tcPr>
            <w:tcW w:w="2835" w:type="dxa"/>
            <w:vAlign w:val="center"/>
          </w:tcPr>
          <w:p w14:paraId="2C7AA091"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AC16W, KR 1-KR 2</w:t>
            </w:r>
          </w:p>
        </w:tc>
        <w:tc>
          <w:tcPr>
            <w:tcW w:w="2297" w:type="dxa"/>
            <w:vAlign w:val="center"/>
          </w:tcPr>
          <w:p w14:paraId="776EB1E4"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≥98</w:t>
            </w:r>
          </w:p>
        </w:tc>
        <w:tc>
          <w:tcPr>
            <w:tcW w:w="2693" w:type="dxa"/>
            <w:vAlign w:val="center"/>
          </w:tcPr>
          <w:p w14:paraId="6CAB6226" w14:textId="77777777" w:rsidR="00C32A41" w:rsidRDefault="00B721B3">
            <w:pPr>
              <w:tabs>
                <w:tab w:val="left" w:pos="0"/>
                <w:tab w:val="right" w:pos="8809"/>
              </w:tabs>
              <w:jc w:val="center"/>
              <w:rPr>
                <w:rFonts w:ascii="Arial" w:hAnsi="Arial" w:cs="Arial"/>
                <w:sz w:val="18"/>
                <w:szCs w:val="18"/>
              </w:rPr>
            </w:pPr>
            <w:r>
              <w:rPr>
                <w:rFonts w:ascii="Arial" w:hAnsi="Arial" w:cs="Arial"/>
                <w:sz w:val="18"/>
                <w:szCs w:val="18"/>
              </w:rPr>
              <w:t>2,0-7,0</w:t>
            </w:r>
          </w:p>
        </w:tc>
      </w:tr>
    </w:tbl>
    <w:p w14:paraId="2DBDCB07" w14:textId="77777777" w:rsidR="00C32A41" w:rsidRDefault="00C32A41">
      <w:pPr>
        <w:tabs>
          <w:tab w:val="left" w:pos="0"/>
          <w:tab w:val="right" w:pos="8809"/>
        </w:tabs>
        <w:jc w:val="both"/>
        <w:rPr>
          <w:rFonts w:ascii="Arial" w:hAnsi="Arial" w:cs="Arial"/>
          <w:sz w:val="18"/>
          <w:szCs w:val="18"/>
        </w:rPr>
      </w:pPr>
    </w:p>
    <w:p w14:paraId="6522A24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Warstwa powinna być równomiernie zagęszczona ciężkimi walcami drogowymi. Do zagęszczania należy stosować walce stalowe gładkie z możliwością wibracji, oscylacji i/lub walce ogumione, a w miejscach niedostępnych dla walców ręczne zagęszczarki.</w:t>
      </w:r>
    </w:p>
    <w:p w14:paraId="7CB9979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Zagęszczanie mieszanki powinno się odbywać wg zasad ustalonych podjętymi podczas wykonywania odcinka próbnego.</w:t>
      </w:r>
    </w:p>
    <w:p w14:paraId="76F8CB4D"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 xml:space="preserve">Zagęszczanie mieszanki należy rozpocząć od krawędzi nawierzchni ku środkowi. </w:t>
      </w:r>
    </w:p>
    <w:p w14:paraId="419C2E33"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Spadki poprzeczne na odcinkach prostych i na łukach powinny być zgodne z dokumentacją projektową.</w:t>
      </w:r>
    </w:p>
    <w:p w14:paraId="1FA543A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Złącza w nawierzchni powinny być wykonane w linii prostej, równolegle lub prostopadle do osi. Złącza w konstrukcji wielowarstwowej powinny być przesunięte względem siebie o co najmniej 15 cm. Złącza powinny być całkowicie związane, a przylegające warstwy powinny być w jednym poziomie.</w:t>
      </w:r>
    </w:p>
    <w:p w14:paraId="2221317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całą szerokością warstwy, złącza poprzeczne, wynikające z dziennej działki roboczej, powinny być równo obcięte, posmarowane lepiszczem i zabezpieczone listwą przed uszkodzeniem.</w:t>
      </w:r>
    </w:p>
    <w:p w14:paraId="6E72725F"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W przypadku rozkładania mieszanki połową szerokości warstwy, występujące dodatkowo złącze podłużne należy zabezpieczyć w sposób podany dla złącza poprzecznego.</w:t>
      </w:r>
    </w:p>
    <w:p w14:paraId="379A9ACD" w14:textId="77777777" w:rsidR="00C32A41" w:rsidRDefault="00C32A41">
      <w:pPr>
        <w:tabs>
          <w:tab w:val="left" w:pos="0"/>
          <w:tab w:val="right" w:pos="8809"/>
        </w:tabs>
        <w:ind w:firstLine="567"/>
        <w:jc w:val="both"/>
        <w:rPr>
          <w:rFonts w:ascii="Arial" w:hAnsi="Arial" w:cs="Arial"/>
          <w:sz w:val="18"/>
          <w:szCs w:val="18"/>
        </w:rPr>
      </w:pPr>
    </w:p>
    <w:p w14:paraId="413180B7"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5.9. Wykonanie bocznych krawędzi asfaltowych warstw konstrukcji nawierzchni</w:t>
      </w:r>
    </w:p>
    <w:p w14:paraId="2323C8F2"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Krawędzie warstw asfaltowych, nieograniczonych krawężnikiem, ściekiem, itp., należy wykonać w formie skarp o nachyleniu nie większym niż 2:1. Należy zastosować odpowiednie urządzenia techniczne, takie jak np. formująca prowadnica skośnych krawędzi układarki oraz krawędziowe wałki dociskowe zamontowane na walcu dopasowanych do grubości wbudowywanej warstwy.</w:t>
      </w:r>
    </w:p>
    <w:p w14:paraId="2EE0A4F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Powierzchnie  boczne warstw asfaltowych należy uszczelnić gorącym asfaltem w ilości ok. 4kg/m</w:t>
      </w:r>
      <w:r>
        <w:rPr>
          <w:rFonts w:ascii="Arial" w:hAnsi="Arial" w:cs="Arial"/>
          <w:snapToGrid w:val="0"/>
          <w:color w:val="000000"/>
          <w:sz w:val="18"/>
          <w:szCs w:val="18"/>
          <w:vertAlign w:val="superscript"/>
        </w:rPr>
        <w:t>2</w:t>
      </w:r>
      <w:r>
        <w:rPr>
          <w:rFonts w:ascii="Arial" w:hAnsi="Arial" w:cs="Arial"/>
          <w:snapToGrid w:val="0"/>
          <w:color w:val="000000"/>
          <w:sz w:val="18"/>
          <w:szCs w:val="18"/>
        </w:rPr>
        <w:t>. Nanoszenie lepiszcza musi być dokonane odpowiednio wcześnie, gdy krawędzie nie są zabrudzone. Jeżeli wbudowanie warstwy leżącej powyżej nie jest prowadzone bezpośrednio po wykonaniu warstwy wcześniejszej, to należy również uwzględnić uszczelnienie powierzchni styku, przylegającej do krawędzi na szerokości co najmniej 10cm dla każdej warstwy poprzez posmarowanie gorącym asfaltem w ilości ok. 1,5kg/m</w:t>
      </w:r>
      <w:r>
        <w:rPr>
          <w:rFonts w:ascii="Arial" w:hAnsi="Arial" w:cs="Arial"/>
          <w:snapToGrid w:val="0"/>
          <w:color w:val="000000"/>
          <w:sz w:val="18"/>
          <w:szCs w:val="18"/>
          <w:vertAlign w:val="superscript"/>
        </w:rPr>
        <w:t>2</w:t>
      </w:r>
      <w:r>
        <w:rPr>
          <w:rFonts w:ascii="Arial" w:hAnsi="Arial" w:cs="Arial"/>
          <w:snapToGrid w:val="0"/>
          <w:color w:val="000000"/>
          <w:sz w:val="18"/>
          <w:szCs w:val="18"/>
        </w:rPr>
        <w:t>.</w:t>
      </w:r>
    </w:p>
    <w:p w14:paraId="7B24476D" w14:textId="77777777" w:rsidR="00C32A41" w:rsidRDefault="00C32A41">
      <w:pPr>
        <w:tabs>
          <w:tab w:val="left" w:pos="1008"/>
          <w:tab w:val="left" w:pos="7459"/>
        </w:tabs>
        <w:rPr>
          <w:rFonts w:ascii="Arial" w:hAnsi="Arial" w:cs="Arial"/>
          <w:b/>
          <w:snapToGrid w:val="0"/>
          <w:color w:val="000000"/>
          <w:sz w:val="18"/>
          <w:szCs w:val="18"/>
        </w:rPr>
      </w:pPr>
    </w:p>
    <w:p w14:paraId="39D5224D" w14:textId="77777777" w:rsidR="00C32A41" w:rsidRDefault="00C32A41">
      <w:pPr>
        <w:tabs>
          <w:tab w:val="left" w:pos="1008"/>
          <w:tab w:val="left" w:pos="7459"/>
        </w:tabs>
        <w:rPr>
          <w:rFonts w:ascii="Arial" w:hAnsi="Arial" w:cs="Arial"/>
          <w:b/>
          <w:snapToGrid w:val="0"/>
          <w:color w:val="000000"/>
          <w:sz w:val="18"/>
          <w:szCs w:val="18"/>
        </w:rPr>
      </w:pPr>
    </w:p>
    <w:p w14:paraId="4091A7A2" w14:textId="77777777" w:rsidR="00C32A41" w:rsidRDefault="00B721B3">
      <w:pPr>
        <w:tabs>
          <w:tab w:val="left" w:pos="1008"/>
          <w:tab w:val="left" w:pos="7459"/>
        </w:tabs>
        <w:spacing w:after="120"/>
        <w:rPr>
          <w:rFonts w:ascii="Arial" w:hAnsi="Arial" w:cs="Arial"/>
          <w:snapToGrid w:val="0"/>
          <w:color w:val="000000"/>
          <w:sz w:val="18"/>
          <w:szCs w:val="18"/>
        </w:rPr>
      </w:pPr>
      <w:r>
        <w:rPr>
          <w:rFonts w:ascii="Arial" w:hAnsi="Arial" w:cs="Arial"/>
          <w:b/>
          <w:snapToGrid w:val="0"/>
          <w:color w:val="000000"/>
          <w:sz w:val="18"/>
          <w:szCs w:val="18"/>
        </w:rPr>
        <w:t>6. KONTROLA JAKOŚCI ROBÓT</w:t>
      </w:r>
    </w:p>
    <w:p w14:paraId="2ED8CC84"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Ogólne zasady kontroli jakości robót podano w STWiORB D-M.00.00.00 „Wymagania ogólne” punkt 6.</w:t>
      </w:r>
    </w:p>
    <w:p w14:paraId="4E2AB58D" w14:textId="77777777" w:rsidR="00C32A41" w:rsidRDefault="00C32A41">
      <w:pPr>
        <w:tabs>
          <w:tab w:val="left" w:pos="1008"/>
          <w:tab w:val="left" w:pos="7459"/>
        </w:tabs>
        <w:rPr>
          <w:rFonts w:ascii="Arial" w:hAnsi="Arial" w:cs="Arial"/>
          <w:b/>
          <w:snapToGrid w:val="0"/>
          <w:color w:val="000000"/>
          <w:sz w:val="18"/>
          <w:szCs w:val="18"/>
        </w:rPr>
      </w:pPr>
    </w:p>
    <w:p w14:paraId="5783B4A5"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6.1. Badania przed przystąpieniem do robót</w:t>
      </w:r>
    </w:p>
    <w:p w14:paraId="72B5F049" w14:textId="77777777" w:rsidR="00C32A41" w:rsidRDefault="00B721B3">
      <w:pPr>
        <w:numPr>
          <w:ilvl w:val="12"/>
          <w:numId w:val="0"/>
        </w:numPr>
        <w:ind w:firstLine="567"/>
        <w:rPr>
          <w:rFonts w:ascii="Arial" w:hAnsi="Arial" w:cs="Arial"/>
          <w:sz w:val="18"/>
          <w:szCs w:val="18"/>
        </w:rPr>
      </w:pPr>
      <w:r>
        <w:rPr>
          <w:rFonts w:ascii="Arial" w:hAnsi="Arial" w:cs="Arial"/>
          <w:sz w:val="18"/>
          <w:szCs w:val="18"/>
        </w:rPr>
        <w:lastRenderedPageBreak/>
        <w:t>Przed przystąpieniem do robót Wykonawca powinien:</w:t>
      </w:r>
    </w:p>
    <w:p w14:paraId="48D01243"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uzyskać wymagane dokumenty, dopuszczające wyroby budowlane do obrotu i powszechnego stosowania (np. stwierdzenie o oznakowaniu materiału znakiem CE lub znakiem budowlanym B, certyfikat zgodności, deklarację zgodności, deklaracjami właściwości użytkowych, ew. badania materiałów wykonane przez dostawców itp.),</w:t>
      </w:r>
    </w:p>
    <w:p w14:paraId="715963FC"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wykonać własne badania właściwości materiałów przeznaczonych do wykonania robót, określone przez Inspektora Nadzoru,</w:t>
      </w:r>
    </w:p>
    <w:p w14:paraId="0D5DBDF9" w14:textId="77777777" w:rsidR="00C32A41" w:rsidRDefault="00B721B3">
      <w:pPr>
        <w:numPr>
          <w:ilvl w:val="0"/>
          <w:numId w:val="27"/>
        </w:numPr>
        <w:overflowPunct w:val="0"/>
        <w:autoSpaceDE w:val="0"/>
        <w:autoSpaceDN w:val="0"/>
        <w:adjustRightInd w:val="0"/>
        <w:ind w:left="284" w:hanging="284"/>
        <w:jc w:val="both"/>
        <w:textAlignment w:val="baseline"/>
        <w:rPr>
          <w:rFonts w:ascii="Arial" w:hAnsi="Arial" w:cs="Arial"/>
          <w:sz w:val="18"/>
          <w:szCs w:val="18"/>
        </w:rPr>
      </w:pPr>
      <w:r>
        <w:rPr>
          <w:rFonts w:ascii="Arial" w:hAnsi="Arial" w:cs="Arial"/>
          <w:sz w:val="18"/>
          <w:szCs w:val="18"/>
        </w:rPr>
        <w:t>sprawdzić cechy zewnętrzne gotowych materiałów z tworzyw.</w:t>
      </w:r>
    </w:p>
    <w:p w14:paraId="604DC402" w14:textId="77777777" w:rsidR="00C32A41" w:rsidRDefault="00C32A41">
      <w:pPr>
        <w:tabs>
          <w:tab w:val="left" w:pos="1008"/>
          <w:tab w:val="left" w:pos="7459"/>
        </w:tabs>
        <w:jc w:val="both"/>
        <w:rPr>
          <w:rFonts w:ascii="Arial" w:hAnsi="Arial" w:cs="Arial"/>
          <w:snapToGrid w:val="0"/>
          <w:color w:val="000000"/>
          <w:sz w:val="18"/>
          <w:szCs w:val="18"/>
        </w:rPr>
      </w:pPr>
    </w:p>
    <w:p w14:paraId="226576A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celu wykazania, że mieszanka mineralno-asfaltowa o danym składzie spełnia wszystkie wymagania  WT-2 Nawierzchnie Asfaltowe 2014, należy przeprowadzić badanie typu każdego składnika mieszanki. </w:t>
      </w:r>
    </w:p>
    <w:p w14:paraId="29862DD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Jeżeli użyto materiały składowe, których właściwości były już określane przez dostawcę materiału na podstawie zgodności z innymi dokumentami technicznymi, to właściwości te nie muszą być ponownie sprawdzane od warunkiem, że przydatność tych materiałów pozostała bez zmian i nie istnieją inne przeciwwskazania.    </w:t>
      </w:r>
    </w:p>
    <w:p w14:paraId="1B99D2B9" w14:textId="77777777" w:rsidR="00C32A41" w:rsidRDefault="00B721B3">
      <w:pPr>
        <w:tabs>
          <w:tab w:val="left" w:pos="1008"/>
          <w:tab w:val="left" w:pos="7459"/>
        </w:tabs>
        <w:ind w:firstLine="567"/>
        <w:jc w:val="both"/>
        <w:rPr>
          <w:rFonts w:ascii="Arial" w:hAnsi="Arial" w:cs="Arial"/>
          <w:snapToGrid w:val="0"/>
          <w:color w:val="000000"/>
          <w:sz w:val="18"/>
          <w:szCs w:val="18"/>
          <w:u w:val="single"/>
        </w:rPr>
      </w:pPr>
      <w:r>
        <w:rPr>
          <w:rFonts w:ascii="Arial" w:hAnsi="Arial" w:cs="Arial"/>
          <w:snapToGrid w:val="0"/>
          <w:color w:val="000000"/>
          <w:sz w:val="18"/>
          <w:szCs w:val="18"/>
        </w:rPr>
        <w:t xml:space="preserve">W wypadku wyrobów oznakowanych znakiem CE zgodnie z odpowiednimi zharmonizowanymi specyfikacjami europejskimi można założyć, że mają one właściwości określone w oznakowaniu CE , jednak </w:t>
      </w:r>
      <w:r>
        <w:rPr>
          <w:rFonts w:ascii="Arial" w:hAnsi="Arial" w:cs="Arial"/>
          <w:snapToGrid w:val="0"/>
          <w:color w:val="000000"/>
          <w:sz w:val="18"/>
          <w:szCs w:val="18"/>
          <w:u w:val="single"/>
        </w:rPr>
        <w:t>nie zwalnia to wykonawcy z odpowiedzialności za zapewnienie, że mieszanka mineralno-asfaltowa jako całość spełnia odpowiednie wartości deklarowane.</w:t>
      </w:r>
    </w:p>
    <w:p w14:paraId="7735C477"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 xml:space="preserve">Wszystkie dokumenty oraz wyniki badań Wykonawca przedstawia </w:t>
      </w:r>
      <w:r>
        <w:rPr>
          <w:rFonts w:ascii="Arial" w:hAnsi="Arial" w:cs="Arial"/>
          <w:sz w:val="18"/>
          <w:szCs w:val="18"/>
        </w:rPr>
        <w:t>Inspektorowi Nadzoru</w:t>
      </w:r>
      <w:r>
        <w:rPr>
          <w:rFonts w:ascii="Arial" w:hAnsi="Arial" w:cs="Arial"/>
          <w:snapToGrid w:val="0"/>
          <w:color w:val="000000"/>
          <w:sz w:val="18"/>
          <w:szCs w:val="18"/>
        </w:rPr>
        <w:t xml:space="preserve"> do akceptacji.</w:t>
      </w:r>
    </w:p>
    <w:p w14:paraId="64BF1173" w14:textId="77777777" w:rsidR="00C32A41" w:rsidRDefault="00C32A41">
      <w:pPr>
        <w:tabs>
          <w:tab w:val="left" w:pos="1008"/>
          <w:tab w:val="left" w:pos="7459"/>
        </w:tabs>
        <w:rPr>
          <w:rFonts w:ascii="Arial" w:hAnsi="Arial" w:cs="Arial"/>
          <w:b/>
          <w:snapToGrid w:val="0"/>
          <w:color w:val="000000"/>
          <w:sz w:val="18"/>
          <w:szCs w:val="18"/>
        </w:rPr>
      </w:pPr>
    </w:p>
    <w:p w14:paraId="110D4B50"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 Badania w czasie robót</w:t>
      </w:r>
    </w:p>
    <w:p w14:paraId="460EEA1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Badania dzielą się na:</w:t>
      </w:r>
    </w:p>
    <w:p w14:paraId="45367C3F"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Wykonawcy (w ramach własnego nadzoru)</w:t>
      </w:r>
    </w:p>
    <w:p w14:paraId="56495035"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(w ramach nadzoru zleceniodawcy)</w:t>
      </w:r>
    </w:p>
    <w:p w14:paraId="5596DA7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kontrolne dodatkowe</w:t>
      </w:r>
    </w:p>
    <w:p w14:paraId="1748FA6E" w14:textId="77777777" w:rsidR="00C32A41" w:rsidRDefault="00B721B3">
      <w:pPr>
        <w:numPr>
          <w:ilvl w:val="0"/>
          <w:numId w:val="29"/>
        </w:numPr>
        <w:tabs>
          <w:tab w:val="clear" w:pos="720"/>
          <w:tab w:val="num" w:pos="284"/>
        </w:tabs>
        <w:ind w:left="284" w:hanging="284"/>
        <w:rPr>
          <w:rFonts w:ascii="Arial" w:hAnsi="Arial" w:cs="Arial"/>
          <w:sz w:val="18"/>
          <w:szCs w:val="18"/>
        </w:rPr>
      </w:pPr>
      <w:r>
        <w:rPr>
          <w:rFonts w:ascii="Arial" w:hAnsi="Arial" w:cs="Arial"/>
          <w:sz w:val="18"/>
          <w:szCs w:val="18"/>
        </w:rPr>
        <w:t>badania arbitrażowe</w:t>
      </w:r>
    </w:p>
    <w:p w14:paraId="65BBFB97" w14:textId="77777777" w:rsidR="00C32A41" w:rsidRDefault="00C32A41">
      <w:pPr>
        <w:tabs>
          <w:tab w:val="left" w:pos="1008"/>
          <w:tab w:val="left" w:pos="7459"/>
        </w:tabs>
        <w:rPr>
          <w:rFonts w:ascii="Arial" w:hAnsi="Arial" w:cs="Arial"/>
          <w:snapToGrid w:val="0"/>
          <w:color w:val="000000"/>
          <w:sz w:val="18"/>
          <w:szCs w:val="18"/>
        </w:rPr>
      </w:pPr>
    </w:p>
    <w:p w14:paraId="77AFC172"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 xml:space="preserve">6.2.1. Badania Wykonawcy </w:t>
      </w:r>
    </w:p>
    <w:p w14:paraId="2C9D1A57" w14:textId="77777777" w:rsidR="00C32A41" w:rsidRDefault="00B721B3">
      <w:pPr>
        <w:ind w:firstLine="567"/>
        <w:jc w:val="both"/>
        <w:rPr>
          <w:rFonts w:ascii="Arial" w:hAnsi="Arial" w:cs="Arial"/>
          <w:sz w:val="18"/>
          <w:szCs w:val="18"/>
        </w:rPr>
      </w:pPr>
      <w:r>
        <w:rPr>
          <w:rFonts w:ascii="Arial" w:hAnsi="Arial" w:cs="Arial"/>
          <w:sz w:val="18"/>
          <w:szCs w:val="18"/>
        </w:rPr>
        <w:t>Wykonawca Robót ma prowadzić Zakładową Kontrolę Produkcji (ZKP) zgodnie z PN-EN 13108-21.</w:t>
      </w:r>
    </w:p>
    <w:p w14:paraId="2208530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Wykonawcy są wykonywane przez Wykonawcę lub jego Zleceniobiorców celem sprawdzenia, czy jakość materiałów budowlanych (mieszanek mineralno-asfaltowych i ich składników, lepiszczy i materiałów do uszczelnień itp.) oraz gotowej usługi (wbudowane warstwy asfaltowe, połączenia itp.) spełniają określone wymagania.</w:t>
      </w:r>
    </w:p>
    <w:p w14:paraId="3466CC3A"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Wykonawca musi wykonywać te badania podczas realizacji kontraktu, z niezbędną starannością                          i w wymaganym zakresie. </w:t>
      </w:r>
    </w:p>
    <w:p w14:paraId="66B590E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należy zapisywać w protokołach. W razie stwierdzenie uchybień w stosunku do wymagań z kontraktu, ich przyczyny należy niezwłocznie usunąć.</w:t>
      </w:r>
    </w:p>
    <w:p w14:paraId="5E83F056"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Wyniki badań Wykonawcy należy przekazywać zleceniodawcy na jego żądanie.</w:t>
      </w:r>
    </w:p>
    <w:p w14:paraId="06A802F7" w14:textId="77777777" w:rsidR="00C32A41" w:rsidRDefault="00C32A41">
      <w:pPr>
        <w:tabs>
          <w:tab w:val="left" w:pos="1008"/>
          <w:tab w:val="left" w:pos="7459"/>
        </w:tabs>
        <w:ind w:firstLine="567"/>
        <w:jc w:val="both"/>
        <w:rPr>
          <w:rFonts w:ascii="Arial" w:hAnsi="Arial" w:cs="Arial"/>
          <w:snapToGrid w:val="0"/>
          <w:color w:val="000000"/>
          <w:sz w:val="18"/>
          <w:szCs w:val="18"/>
        </w:rPr>
      </w:pPr>
    </w:p>
    <w:p w14:paraId="76866A89"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6.2.1.1. Badania Wykonawcy dotyczące wykonywania nawierzchni:</w:t>
      </w:r>
    </w:p>
    <w:p w14:paraId="1DB1FB70" w14:textId="77777777" w:rsidR="00C32A41" w:rsidRDefault="00B721B3">
      <w:pPr>
        <w:numPr>
          <w:ilvl w:val="0"/>
          <w:numId w:val="30"/>
        </w:numPr>
        <w:rPr>
          <w:rFonts w:ascii="Arial" w:hAnsi="Arial" w:cs="Arial"/>
          <w:sz w:val="18"/>
          <w:szCs w:val="18"/>
        </w:rPr>
      </w:pPr>
      <w:r>
        <w:rPr>
          <w:rFonts w:ascii="Arial" w:hAnsi="Arial" w:cs="Arial"/>
          <w:sz w:val="18"/>
          <w:szCs w:val="18"/>
        </w:rPr>
        <w:t>temperatura powietrza,</w:t>
      </w:r>
    </w:p>
    <w:p w14:paraId="5007C04B" w14:textId="77777777" w:rsidR="00C32A41" w:rsidRDefault="00B721B3">
      <w:pPr>
        <w:numPr>
          <w:ilvl w:val="0"/>
          <w:numId w:val="30"/>
        </w:numPr>
        <w:rPr>
          <w:rFonts w:ascii="Arial" w:hAnsi="Arial" w:cs="Arial"/>
          <w:sz w:val="18"/>
          <w:szCs w:val="18"/>
        </w:rPr>
      </w:pPr>
      <w:r>
        <w:rPr>
          <w:rFonts w:ascii="Arial" w:hAnsi="Arial" w:cs="Arial"/>
          <w:sz w:val="18"/>
          <w:szCs w:val="18"/>
        </w:rPr>
        <w:t>temperatura mieszanki mineralno-asfaltowej podczas wykonywania nawierzchni,</w:t>
      </w:r>
    </w:p>
    <w:p w14:paraId="5468D775" w14:textId="77777777" w:rsidR="00C32A41" w:rsidRDefault="00B721B3">
      <w:pPr>
        <w:numPr>
          <w:ilvl w:val="0"/>
          <w:numId w:val="30"/>
        </w:numPr>
        <w:rPr>
          <w:rFonts w:ascii="Arial" w:hAnsi="Arial" w:cs="Arial"/>
          <w:sz w:val="18"/>
          <w:szCs w:val="18"/>
        </w:rPr>
      </w:pPr>
      <w:r>
        <w:rPr>
          <w:rFonts w:ascii="Arial" w:hAnsi="Arial" w:cs="Arial"/>
          <w:sz w:val="18"/>
          <w:szCs w:val="18"/>
        </w:rPr>
        <w:t>wygląd mieszanki mineralno-asfaltowej,</w:t>
      </w:r>
    </w:p>
    <w:p w14:paraId="551E9804" w14:textId="77777777" w:rsidR="00C32A41" w:rsidRDefault="00B721B3">
      <w:pPr>
        <w:numPr>
          <w:ilvl w:val="0"/>
          <w:numId w:val="30"/>
        </w:numPr>
        <w:rPr>
          <w:rFonts w:ascii="Arial" w:hAnsi="Arial" w:cs="Arial"/>
          <w:sz w:val="18"/>
          <w:szCs w:val="18"/>
        </w:rPr>
      </w:pPr>
      <w:r>
        <w:rPr>
          <w:rFonts w:ascii="Arial" w:hAnsi="Arial" w:cs="Arial"/>
          <w:sz w:val="18"/>
          <w:szCs w:val="18"/>
        </w:rPr>
        <w:t>grubość wykonanych warstw,</w:t>
      </w:r>
    </w:p>
    <w:p w14:paraId="11BABC9B" w14:textId="77777777" w:rsidR="00C32A41" w:rsidRDefault="00B721B3">
      <w:pPr>
        <w:numPr>
          <w:ilvl w:val="0"/>
          <w:numId w:val="30"/>
        </w:numPr>
        <w:rPr>
          <w:rFonts w:ascii="Arial" w:hAnsi="Arial" w:cs="Arial"/>
          <w:sz w:val="18"/>
          <w:szCs w:val="18"/>
        </w:rPr>
      </w:pPr>
      <w:r>
        <w:rPr>
          <w:rFonts w:ascii="Arial" w:hAnsi="Arial" w:cs="Arial"/>
          <w:sz w:val="18"/>
          <w:szCs w:val="18"/>
        </w:rPr>
        <w:t>połączenia międzywarstwowe,</w:t>
      </w:r>
    </w:p>
    <w:p w14:paraId="43E2300B" w14:textId="77777777" w:rsidR="00C32A41" w:rsidRDefault="00B721B3">
      <w:pPr>
        <w:numPr>
          <w:ilvl w:val="0"/>
          <w:numId w:val="30"/>
        </w:numPr>
        <w:rPr>
          <w:rFonts w:ascii="Arial" w:hAnsi="Arial" w:cs="Arial"/>
          <w:sz w:val="18"/>
          <w:szCs w:val="18"/>
        </w:rPr>
      </w:pPr>
      <w:r>
        <w:rPr>
          <w:rFonts w:ascii="Arial" w:hAnsi="Arial" w:cs="Arial"/>
          <w:sz w:val="18"/>
          <w:szCs w:val="18"/>
        </w:rPr>
        <w:t>spadki poprzeczne poszczególnych warstw asfaltowych,</w:t>
      </w:r>
    </w:p>
    <w:p w14:paraId="5759F681" w14:textId="77777777" w:rsidR="00C32A41" w:rsidRDefault="00B721B3">
      <w:pPr>
        <w:numPr>
          <w:ilvl w:val="0"/>
          <w:numId w:val="30"/>
        </w:numPr>
        <w:rPr>
          <w:rFonts w:ascii="Arial" w:hAnsi="Arial" w:cs="Arial"/>
          <w:sz w:val="18"/>
          <w:szCs w:val="18"/>
        </w:rPr>
      </w:pPr>
      <w:r>
        <w:rPr>
          <w:rFonts w:ascii="Arial" w:hAnsi="Arial" w:cs="Arial"/>
          <w:sz w:val="18"/>
          <w:szCs w:val="18"/>
        </w:rPr>
        <w:t>równość poszczególnych warstw asfaltowych,</w:t>
      </w:r>
    </w:p>
    <w:p w14:paraId="31528AE8" w14:textId="77777777" w:rsidR="00C32A41" w:rsidRDefault="00B721B3">
      <w:pPr>
        <w:numPr>
          <w:ilvl w:val="0"/>
          <w:numId w:val="30"/>
        </w:numPr>
        <w:rPr>
          <w:rFonts w:ascii="Arial" w:hAnsi="Arial" w:cs="Arial"/>
          <w:sz w:val="18"/>
          <w:szCs w:val="18"/>
        </w:rPr>
      </w:pPr>
      <w:r>
        <w:rPr>
          <w:rFonts w:ascii="Arial" w:hAnsi="Arial" w:cs="Arial"/>
          <w:sz w:val="18"/>
          <w:szCs w:val="18"/>
        </w:rPr>
        <w:t>geometria poboczy,</w:t>
      </w:r>
    </w:p>
    <w:p w14:paraId="46A7AA2B" w14:textId="77777777" w:rsidR="00C32A41" w:rsidRDefault="00B721B3">
      <w:pPr>
        <w:numPr>
          <w:ilvl w:val="0"/>
          <w:numId w:val="30"/>
        </w:numPr>
        <w:rPr>
          <w:rFonts w:ascii="Arial" w:hAnsi="Arial" w:cs="Arial"/>
          <w:sz w:val="18"/>
          <w:szCs w:val="18"/>
        </w:rPr>
      </w:pPr>
      <w:r>
        <w:rPr>
          <w:rFonts w:ascii="Arial" w:hAnsi="Arial" w:cs="Arial"/>
          <w:sz w:val="18"/>
          <w:szCs w:val="18"/>
        </w:rPr>
        <w:t>ocena wizualna jednorodności powierzchni warstwy,</w:t>
      </w:r>
    </w:p>
    <w:p w14:paraId="2937FCD4" w14:textId="77777777" w:rsidR="00C32A41" w:rsidRDefault="00B721B3">
      <w:pPr>
        <w:numPr>
          <w:ilvl w:val="0"/>
          <w:numId w:val="30"/>
        </w:numPr>
        <w:rPr>
          <w:rFonts w:ascii="Arial" w:hAnsi="Arial" w:cs="Arial"/>
          <w:sz w:val="18"/>
          <w:szCs w:val="18"/>
        </w:rPr>
      </w:pPr>
      <w:r>
        <w:rPr>
          <w:rFonts w:ascii="Arial" w:hAnsi="Arial" w:cs="Arial"/>
          <w:sz w:val="18"/>
          <w:szCs w:val="18"/>
        </w:rPr>
        <w:t>ocena wizualna jakości wykonania połączeń technologicznych.</w:t>
      </w:r>
    </w:p>
    <w:p w14:paraId="63EB163F" w14:textId="77777777" w:rsidR="00C32A41" w:rsidRDefault="00C32A41">
      <w:pPr>
        <w:ind w:left="720"/>
        <w:rPr>
          <w:rFonts w:ascii="Arial" w:hAnsi="Arial" w:cs="Arial"/>
          <w:sz w:val="18"/>
          <w:szCs w:val="18"/>
        </w:rPr>
      </w:pPr>
    </w:p>
    <w:p w14:paraId="4CC168CB"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6.2.1.2.Częstotliwość oraz zakres badań i pomiarów</w:t>
      </w:r>
    </w:p>
    <w:p w14:paraId="32DE21E4"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Zakres badań kontrolnych podano w Tablicy 7, ich częstotliwość wynika z Zakładowej Kontroli   </w:t>
      </w:r>
    </w:p>
    <w:p w14:paraId="0EC7021F"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Produkcji, ale nie może być mniejsza niż podano w Tablicy 7.</w:t>
      </w:r>
    </w:p>
    <w:p w14:paraId="03A90E05" w14:textId="77777777" w:rsidR="00C32A41" w:rsidRDefault="00C32A41">
      <w:pPr>
        <w:tabs>
          <w:tab w:val="left" w:pos="1008"/>
          <w:tab w:val="left" w:pos="7459"/>
        </w:tabs>
        <w:rPr>
          <w:rFonts w:ascii="Arial" w:hAnsi="Arial" w:cs="Arial"/>
          <w:snapToGrid w:val="0"/>
          <w:color w:val="000000"/>
          <w:sz w:val="18"/>
          <w:szCs w:val="18"/>
        </w:rPr>
      </w:pPr>
    </w:p>
    <w:p w14:paraId="078B967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7 . Rodzaj badań kontrolnych oraz częstotliwość.</w:t>
      </w:r>
    </w:p>
    <w:p w14:paraId="1118BD29"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05"/>
        <w:gridCol w:w="4204"/>
      </w:tblGrid>
      <w:tr w:rsidR="00C32A41" w14:paraId="74A5230B" w14:textId="77777777">
        <w:trPr>
          <w:jc w:val="center"/>
        </w:trPr>
        <w:tc>
          <w:tcPr>
            <w:tcW w:w="533" w:type="dxa"/>
          </w:tcPr>
          <w:p w14:paraId="7D1D848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3905" w:type="dxa"/>
          </w:tcPr>
          <w:p w14:paraId="7071A5C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Rodzaj badań</w:t>
            </w:r>
          </w:p>
        </w:tc>
        <w:tc>
          <w:tcPr>
            <w:tcW w:w="4204" w:type="dxa"/>
          </w:tcPr>
          <w:p w14:paraId="52F0A2D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Częstość badań </w:t>
            </w:r>
          </w:p>
        </w:tc>
      </w:tr>
      <w:tr w:rsidR="00C32A41" w14:paraId="394DE211" w14:textId="77777777">
        <w:trPr>
          <w:jc w:val="center"/>
        </w:trPr>
        <w:tc>
          <w:tcPr>
            <w:tcW w:w="8642" w:type="dxa"/>
            <w:gridSpan w:val="3"/>
          </w:tcPr>
          <w:p w14:paraId="7E3E5B9F"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MIESZANKI MINERALNO-ASFALTOWEJ</w:t>
            </w:r>
          </w:p>
        </w:tc>
      </w:tr>
      <w:tr w:rsidR="00C32A41" w14:paraId="7563F2DD" w14:textId="77777777">
        <w:trPr>
          <w:jc w:val="center"/>
        </w:trPr>
        <w:tc>
          <w:tcPr>
            <w:tcW w:w="533" w:type="dxa"/>
          </w:tcPr>
          <w:p w14:paraId="7BE671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w:t>
            </w:r>
          </w:p>
        </w:tc>
        <w:tc>
          <w:tcPr>
            <w:tcW w:w="3905" w:type="dxa"/>
          </w:tcPr>
          <w:p w14:paraId="528B04F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Temperatura składników</w:t>
            </w:r>
          </w:p>
        </w:tc>
        <w:tc>
          <w:tcPr>
            <w:tcW w:w="4204" w:type="dxa"/>
          </w:tcPr>
          <w:p w14:paraId="3A4B4A0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Dozór ciągły</w:t>
            </w:r>
          </w:p>
        </w:tc>
      </w:tr>
      <w:tr w:rsidR="00C32A41" w14:paraId="262DC0D2" w14:textId="77777777">
        <w:trPr>
          <w:jc w:val="center"/>
        </w:trPr>
        <w:tc>
          <w:tcPr>
            <w:tcW w:w="533" w:type="dxa"/>
          </w:tcPr>
          <w:p w14:paraId="1668FF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3905" w:type="dxa"/>
          </w:tcPr>
          <w:p w14:paraId="552FC3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Temperatura mieszanki </w:t>
            </w:r>
          </w:p>
        </w:tc>
        <w:tc>
          <w:tcPr>
            <w:tcW w:w="4204" w:type="dxa"/>
          </w:tcPr>
          <w:p w14:paraId="247B385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Każdy samochód przy załadunku i w czasie wbudowania</w:t>
            </w:r>
          </w:p>
        </w:tc>
      </w:tr>
      <w:tr w:rsidR="00C32A41" w14:paraId="6BC63194" w14:textId="77777777">
        <w:trPr>
          <w:jc w:val="center"/>
        </w:trPr>
        <w:tc>
          <w:tcPr>
            <w:tcW w:w="533" w:type="dxa"/>
          </w:tcPr>
          <w:p w14:paraId="444AEFE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3905" w:type="dxa"/>
          </w:tcPr>
          <w:p w14:paraId="09E1A8C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asfaltu i uziarnienie mieszanki mineralnej</w:t>
            </w:r>
          </w:p>
        </w:tc>
        <w:tc>
          <w:tcPr>
            <w:tcW w:w="4204" w:type="dxa"/>
          </w:tcPr>
          <w:p w14:paraId="31141DC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1 raz dziennie</w:t>
            </w:r>
          </w:p>
        </w:tc>
      </w:tr>
      <w:tr w:rsidR="00C32A41" w14:paraId="55C1FB09" w14:textId="77777777">
        <w:trPr>
          <w:jc w:val="center"/>
        </w:trPr>
        <w:tc>
          <w:tcPr>
            <w:tcW w:w="533" w:type="dxa"/>
          </w:tcPr>
          <w:p w14:paraId="2D68EB0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3905" w:type="dxa"/>
          </w:tcPr>
          <w:p w14:paraId="2D0C897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próbkach Marshalla</w:t>
            </w:r>
          </w:p>
        </w:tc>
        <w:tc>
          <w:tcPr>
            <w:tcW w:w="4204" w:type="dxa"/>
          </w:tcPr>
          <w:p w14:paraId="5502569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Nie rzadziej niż 1 raz dziennie </w:t>
            </w:r>
          </w:p>
        </w:tc>
      </w:tr>
      <w:tr w:rsidR="00C32A41" w14:paraId="5C967043" w14:textId="77777777">
        <w:trPr>
          <w:jc w:val="center"/>
        </w:trPr>
        <w:tc>
          <w:tcPr>
            <w:tcW w:w="8642" w:type="dxa"/>
            <w:gridSpan w:val="3"/>
          </w:tcPr>
          <w:p w14:paraId="0DC869FB" w14:textId="77777777" w:rsidR="00C32A41" w:rsidRDefault="00B721B3">
            <w:pPr>
              <w:tabs>
                <w:tab w:val="left" w:pos="1008"/>
                <w:tab w:val="left" w:pos="7459"/>
              </w:tabs>
              <w:jc w:val="center"/>
              <w:rPr>
                <w:rFonts w:ascii="Arial" w:hAnsi="Arial" w:cs="Arial"/>
                <w:snapToGrid w:val="0"/>
                <w:color w:val="000000"/>
                <w:sz w:val="18"/>
                <w:szCs w:val="18"/>
              </w:rPr>
            </w:pPr>
            <w:r>
              <w:rPr>
                <w:rFonts w:ascii="Arial" w:hAnsi="Arial" w:cs="Arial"/>
                <w:snapToGrid w:val="0"/>
                <w:color w:val="000000"/>
                <w:sz w:val="18"/>
                <w:szCs w:val="18"/>
              </w:rPr>
              <w:t>BADANIA PO ZAGĘSZCZENIU WARSTWY</w:t>
            </w:r>
          </w:p>
        </w:tc>
      </w:tr>
      <w:tr w:rsidR="00C32A41" w14:paraId="44E4CA1A" w14:textId="77777777">
        <w:trPr>
          <w:jc w:val="center"/>
        </w:trPr>
        <w:tc>
          <w:tcPr>
            <w:tcW w:w="533" w:type="dxa"/>
          </w:tcPr>
          <w:p w14:paraId="125DAF6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5.</w:t>
            </w:r>
          </w:p>
        </w:tc>
        <w:tc>
          <w:tcPr>
            <w:tcW w:w="3905" w:type="dxa"/>
          </w:tcPr>
          <w:p w14:paraId="2F1DEB7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Grubość warstwy</w:t>
            </w:r>
          </w:p>
        </w:tc>
        <w:tc>
          <w:tcPr>
            <w:tcW w:w="4204" w:type="dxa"/>
          </w:tcPr>
          <w:p w14:paraId="29DE014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najmniej 1 próbka z działki roboczej</w:t>
            </w:r>
          </w:p>
        </w:tc>
      </w:tr>
      <w:tr w:rsidR="00C32A41" w14:paraId="2091BA45" w14:textId="77777777">
        <w:trPr>
          <w:jc w:val="center"/>
        </w:trPr>
        <w:tc>
          <w:tcPr>
            <w:tcW w:w="533" w:type="dxa"/>
          </w:tcPr>
          <w:p w14:paraId="182A2D3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6.</w:t>
            </w:r>
          </w:p>
        </w:tc>
        <w:tc>
          <w:tcPr>
            <w:tcW w:w="3905" w:type="dxa"/>
          </w:tcPr>
          <w:p w14:paraId="2514CAA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Wskaźnik zagęszczenia warstwy</w:t>
            </w:r>
          </w:p>
        </w:tc>
        <w:tc>
          <w:tcPr>
            <w:tcW w:w="4204" w:type="dxa"/>
          </w:tcPr>
          <w:p w14:paraId="29AE58C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r w:rsidR="00C32A41" w14:paraId="49E6D62B" w14:textId="77777777">
        <w:trPr>
          <w:jc w:val="center"/>
        </w:trPr>
        <w:tc>
          <w:tcPr>
            <w:tcW w:w="533" w:type="dxa"/>
          </w:tcPr>
          <w:p w14:paraId="11A39D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3905" w:type="dxa"/>
          </w:tcPr>
          <w:p w14:paraId="4CEFEFB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Wolna przestrzeń w zagęszczonej warstwie</w:t>
            </w:r>
          </w:p>
        </w:tc>
        <w:tc>
          <w:tcPr>
            <w:tcW w:w="4204" w:type="dxa"/>
          </w:tcPr>
          <w:p w14:paraId="2BCBF0EF" w14:textId="77777777" w:rsidR="00C32A41" w:rsidRDefault="00B721B3">
            <w:pPr>
              <w:rPr>
                <w:rFonts w:ascii="Arial" w:hAnsi="Arial" w:cs="Arial"/>
                <w:sz w:val="18"/>
                <w:szCs w:val="18"/>
              </w:rPr>
            </w:pPr>
            <w:r>
              <w:rPr>
                <w:rFonts w:ascii="Arial" w:hAnsi="Arial" w:cs="Arial"/>
                <w:sz w:val="18"/>
                <w:szCs w:val="18"/>
              </w:rPr>
              <w:t>co najmniej 1 próbka z działki roboczej</w:t>
            </w:r>
          </w:p>
        </w:tc>
      </w:tr>
    </w:tbl>
    <w:p w14:paraId="37B30531" w14:textId="77777777" w:rsidR="00C32A41" w:rsidRDefault="00C32A41">
      <w:pPr>
        <w:ind w:firstLine="567"/>
        <w:jc w:val="both"/>
        <w:rPr>
          <w:rFonts w:ascii="Arial" w:hAnsi="Arial" w:cs="Arial"/>
          <w:sz w:val="18"/>
          <w:szCs w:val="18"/>
        </w:rPr>
      </w:pPr>
    </w:p>
    <w:p w14:paraId="69DAECE9" w14:textId="77777777" w:rsidR="00C32A41" w:rsidRDefault="00B721B3">
      <w:pPr>
        <w:ind w:firstLine="567"/>
        <w:jc w:val="both"/>
        <w:rPr>
          <w:rFonts w:ascii="Arial" w:hAnsi="Arial" w:cs="Arial"/>
          <w:sz w:val="18"/>
          <w:szCs w:val="18"/>
        </w:rPr>
      </w:pPr>
      <w:r>
        <w:rPr>
          <w:rFonts w:ascii="Arial" w:hAnsi="Arial" w:cs="Arial"/>
          <w:sz w:val="18"/>
          <w:szCs w:val="18"/>
        </w:rPr>
        <w:t>Właściwości mieszanki AC 16 W należy oceniać na podstawie badań pobranych próbek mieszanki mineralno-asfaltowej przed wbudowaniem (wbudowanie oznacza wykonanie warstwy asfaltowej). Wyjątkowo dopuszcza się badania próbek pobranych z wykonanej warstwy asfaltowej.</w:t>
      </w:r>
    </w:p>
    <w:p w14:paraId="0EBF84C2" w14:textId="77777777" w:rsidR="00C32A41" w:rsidRDefault="00C32A41">
      <w:pPr>
        <w:jc w:val="both"/>
        <w:rPr>
          <w:rFonts w:ascii="Arial" w:hAnsi="Arial" w:cs="Arial"/>
          <w:sz w:val="18"/>
          <w:szCs w:val="18"/>
        </w:rPr>
      </w:pPr>
    </w:p>
    <w:p w14:paraId="6454BF58"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6.2.1.2.1. Pomiar temperatury składników mieszanki</w:t>
      </w:r>
    </w:p>
    <w:p w14:paraId="223D8E0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czasie produkcji mieszanki mineralno-asfaltowej należy w sposób ciągły kontrolować temperaturę składników mieszanki. </w:t>
      </w:r>
    </w:p>
    <w:p w14:paraId="2E7D799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Pomiar polega na odczytaniu wskazań odpowiednich termometrów zamontowanych na otaczarce. Wyniki powinny być zgodne z wymaganiami podanymi w punkcie 5.3.</w:t>
      </w:r>
    </w:p>
    <w:p w14:paraId="1EAE0BF8" w14:textId="77777777" w:rsidR="00C32A41" w:rsidRDefault="00C32A41">
      <w:pPr>
        <w:tabs>
          <w:tab w:val="left" w:pos="1008"/>
          <w:tab w:val="left" w:pos="7459"/>
        </w:tabs>
        <w:rPr>
          <w:rFonts w:ascii="Arial" w:hAnsi="Arial" w:cs="Arial"/>
          <w:snapToGrid w:val="0"/>
          <w:color w:val="000000"/>
          <w:sz w:val="18"/>
          <w:szCs w:val="18"/>
        </w:rPr>
      </w:pPr>
    </w:p>
    <w:p w14:paraId="160DDD79"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6.2.1.2.2. Pomiar temperatury mieszanki</w:t>
      </w:r>
    </w:p>
    <w:p w14:paraId="2CF61D2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Temperaturę mieszanki mineralno-asfaltowej należy mierzyć i rejestrować przy załadunku i w czasie wbudowania w nawierzchnię. Wyniki powinny być zgodne z wymaganiami podanymi w punkcie 5.3.</w:t>
      </w:r>
    </w:p>
    <w:p w14:paraId="78C97C31" w14:textId="77777777" w:rsidR="00C32A41" w:rsidRDefault="00C32A41">
      <w:pPr>
        <w:tabs>
          <w:tab w:val="left" w:pos="1008"/>
          <w:tab w:val="left" w:pos="7459"/>
        </w:tabs>
        <w:rPr>
          <w:rFonts w:ascii="Arial" w:hAnsi="Arial" w:cs="Arial"/>
          <w:snapToGrid w:val="0"/>
          <w:color w:val="000000"/>
          <w:sz w:val="18"/>
          <w:szCs w:val="18"/>
        </w:rPr>
      </w:pPr>
    </w:p>
    <w:p w14:paraId="64AE5CE2" w14:textId="77777777" w:rsidR="00C32A41" w:rsidRDefault="00B721B3">
      <w:pPr>
        <w:pStyle w:val="Nagwek2"/>
        <w:keepNext w:val="0"/>
        <w:spacing w:before="0" w:after="60"/>
        <w:jc w:val="left"/>
        <w:rPr>
          <w:rFonts w:ascii="Arial" w:hAnsi="Arial" w:cs="Arial"/>
          <w:snapToGrid w:val="0"/>
          <w:color w:val="000000"/>
          <w:sz w:val="18"/>
          <w:szCs w:val="18"/>
        </w:rPr>
      </w:pPr>
      <w:r>
        <w:rPr>
          <w:rFonts w:ascii="Arial" w:hAnsi="Arial" w:cs="Arial"/>
          <w:snapToGrid w:val="0"/>
          <w:color w:val="000000"/>
          <w:sz w:val="18"/>
          <w:szCs w:val="18"/>
        </w:rPr>
        <w:t>6.2.1.2.3. Zawartość asfaltu</w:t>
      </w:r>
    </w:p>
    <w:p w14:paraId="102E3853"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Badanie polega na wykonaniu ekstrakcji asfaltu zgodnie PN-EN 12697-1 z każdej pobranej próbki mieszanki AC.</w:t>
      </w:r>
    </w:p>
    <w:p w14:paraId="5833830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zawartości lepiszcza jest to wartość bezwzględna różnicy pomiędzy procentową zawartością lepiszcza rozpuszczalnego uzyskaną z badań laboratoryjnych a procentową zawartością lepiszcza rozpuszczalnego podaną w badaniu typu.</w:t>
      </w:r>
    </w:p>
    <w:p w14:paraId="4B37345B"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Jakość wbudowanej mieszanki mineralno-asfaltowej należy ocenić na podstawie:</w:t>
      </w:r>
    </w:p>
    <w:p w14:paraId="1FE06E76"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badania typu i danej warstwy asfaltowej) z dokładnością do 0,01 %,</w:t>
      </w:r>
    </w:p>
    <w:p w14:paraId="7FFA71D1" w14:textId="77777777" w:rsidR="00C32A41" w:rsidRDefault="00B721B3">
      <w:pPr>
        <w:pStyle w:val="Akapitzlist"/>
        <w:numPr>
          <w:ilvl w:val="0"/>
          <w:numId w:val="31"/>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w:t>
      </w:r>
    </w:p>
    <w:p w14:paraId="45ED4DAB"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odchyłki w zakresie zawartości lepiszcza w mieszance mineralno-asfaltowej dla pojedynczego wyniku oraz dla wartości średniej podano w Tablicy nr 8.</w:t>
      </w:r>
    </w:p>
    <w:p w14:paraId="3BC984F2" w14:textId="77777777" w:rsidR="00C32A41" w:rsidRDefault="00C32A41">
      <w:pPr>
        <w:ind w:right="21"/>
        <w:jc w:val="both"/>
        <w:rPr>
          <w:rFonts w:ascii="Arial" w:hAnsi="Arial" w:cs="Arial"/>
          <w:snapToGrid w:val="0"/>
          <w:color w:val="000000"/>
          <w:sz w:val="18"/>
          <w:szCs w:val="18"/>
        </w:rPr>
      </w:pPr>
    </w:p>
    <w:p w14:paraId="3CFDFA00" w14:textId="77777777" w:rsidR="00C32A41" w:rsidRDefault="00B721B3">
      <w:pPr>
        <w:ind w:left="142" w:right="21" w:hanging="142"/>
        <w:jc w:val="both"/>
        <w:rPr>
          <w:rFonts w:ascii="Arial" w:hAnsi="Arial" w:cs="Arial"/>
          <w:snapToGrid w:val="0"/>
          <w:color w:val="000000"/>
          <w:sz w:val="18"/>
          <w:szCs w:val="18"/>
        </w:rPr>
      </w:pPr>
      <w:r>
        <w:rPr>
          <w:rFonts w:ascii="Arial" w:hAnsi="Arial" w:cs="Arial"/>
          <w:snapToGrid w:val="0"/>
          <w:color w:val="000000"/>
          <w:sz w:val="18"/>
          <w:szCs w:val="18"/>
        </w:rPr>
        <w:t>Tablica nr 8. Dopuszczalne odchyłki w zakresie zawartości lepiszcza w mieszance mineralno-asfaltowe AC 16 W.</w:t>
      </w:r>
    </w:p>
    <w:p w14:paraId="766CB3C7" w14:textId="77777777" w:rsidR="00C32A41" w:rsidRDefault="00C32A41">
      <w:pPr>
        <w:ind w:left="142" w:right="21" w:hanging="142"/>
        <w:jc w:val="both"/>
        <w:rPr>
          <w:rFonts w:ascii="Arial" w:hAnsi="Arial" w:cs="Arial"/>
          <w:snapToGrid w:val="0"/>
          <w:color w:val="000000"/>
          <w:sz w:val="18"/>
          <w:szCs w:val="18"/>
        </w:rPr>
      </w:pPr>
    </w:p>
    <w:tbl>
      <w:tblPr>
        <w:tblStyle w:val="Tabela-Siatka"/>
        <w:tblW w:w="0" w:type="auto"/>
        <w:tblLook w:val="04A0" w:firstRow="1" w:lastRow="0" w:firstColumn="1" w:lastColumn="0" w:noHBand="0" w:noVBand="1"/>
      </w:tblPr>
      <w:tblGrid>
        <w:gridCol w:w="4531"/>
        <w:gridCol w:w="1556"/>
        <w:gridCol w:w="2130"/>
      </w:tblGrid>
      <w:tr w:rsidR="00C32A41" w14:paraId="55294756" w14:textId="77777777">
        <w:tc>
          <w:tcPr>
            <w:tcW w:w="4531" w:type="dxa"/>
            <w:vMerge w:val="restart"/>
          </w:tcPr>
          <w:p w14:paraId="4339DB12" w14:textId="77777777" w:rsidR="00C32A41" w:rsidRDefault="00C32A41">
            <w:pPr>
              <w:ind w:right="21"/>
              <w:jc w:val="center"/>
              <w:rPr>
                <w:rFonts w:ascii="Arial" w:hAnsi="Arial" w:cs="Arial"/>
                <w:snapToGrid w:val="0"/>
                <w:color w:val="000000"/>
                <w:sz w:val="18"/>
                <w:szCs w:val="18"/>
              </w:rPr>
            </w:pPr>
          </w:p>
          <w:p w14:paraId="1D960C18"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Oceniany parametr</w:t>
            </w:r>
          </w:p>
        </w:tc>
        <w:tc>
          <w:tcPr>
            <w:tcW w:w="3686" w:type="dxa"/>
            <w:gridSpan w:val="2"/>
          </w:tcPr>
          <w:p w14:paraId="205AC44B"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76966535" w14:textId="77777777">
        <w:tc>
          <w:tcPr>
            <w:tcW w:w="4531" w:type="dxa"/>
            <w:vMerge/>
          </w:tcPr>
          <w:p w14:paraId="2BA2A322" w14:textId="77777777" w:rsidR="00C32A41" w:rsidRDefault="00C32A41">
            <w:pPr>
              <w:ind w:right="21"/>
              <w:jc w:val="center"/>
              <w:rPr>
                <w:rFonts w:ascii="Arial" w:hAnsi="Arial" w:cs="Arial"/>
                <w:snapToGrid w:val="0"/>
                <w:color w:val="000000"/>
                <w:sz w:val="18"/>
                <w:szCs w:val="18"/>
              </w:rPr>
            </w:pPr>
          </w:p>
        </w:tc>
        <w:tc>
          <w:tcPr>
            <w:tcW w:w="1556" w:type="dxa"/>
          </w:tcPr>
          <w:p w14:paraId="1959109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pojedynczego wyniku</w:t>
            </w:r>
          </w:p>
        </w:tc>
        <w:tc>
          <w:tcPr>
            <w:tcW w:w="2130" w:type="dxa"/>
          </w:tcPr>
          <w:p w14:paraId="08DF38E5"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56DEC25D" w14:textId="77777777">
        <w:trPr>
          <w:trHeight w:val="248"/>
        </w:trPr>
        <w:tc>
          <w:tcPr>
            <w:tcW w:w="4531" w:type="dxa"/>
            <w:vAlign w:val="center"/>
          </w:tcPr>
          <w:p w14:paraId="02B58F0E"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niedomiar</w:t>
            </w:r>
          </w:p>
        </w:tc>
        <w:tc>
          <w:tcPr>
            <w:tcW w:w="1556" w:type="dxa"/>
            <w:vAlign w:val="center"/>
          </w:tcPr>
          <w:p w14:paraId="0A3DB5AD"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C6F5A0E"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r w:rsidR="00C32A41" w14:paraId="4E06D69C" w14:textId="77777777">
        <w:trPr>
          <w:trHeight w:val="280"/>
        </w:trPr>
        <w:tc>
          <w:tcPr>
            <w:tcW w:w="4531" w:type="dxa"/>
            <w:vAlign w:val="center"/>
          </w:tcPr>
          <w:p w14:paraId="3AD33B15" w14:textId="77777777" w:rsidR="00C32A41" w:rsidRDefault="00B721B3">
            <w:pPr>
              <w:ind w:left="142" w:right="69" w:hanging="142"/>
              <w:jc w:val="both"/>
              <w:rPr>
                <w:rFonts w:ascii="Arial" w:hAnsi="Arial" w:cs="Arial"/>
                <w:snapToGrid w:val="0"/>
                <w:color w:val="000000"/>
                <w:sz w:val="18"/>
                <w:szCs w:val="18"/>
              </w:rPr>
            </w:pPr>
            <w:r>
              <w:rPr>
                <w:rFonts w:ascii="Arial" w:hAnsi="Arial" w:cs="Arial"/>
                <w:snapToGrid w:val="0"/>
                <w:color w:val="000000"/>
                <w:sz w:val="18"/>
                <w:szCs w:val="18"/>
              </w:rPr>
              <w:t>Zawartość lepiszcza rozpuszczalnego S - nadmiar</w:t>
            </w:r>
          </w:p>
        </w:tc>
        <w:tc>
          <w:tcPr>
            <w:tcW w:w="1556" w:type="dxa"/>
            <w:vAlign w:val="center"/>
          </w:tcPr>
          <w:p w14:paraId="548E718A"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0,3</w:t>
            </w:r>
          </w:p>
        </w:tc>
        <w:tc>
          <w:tcPr>
            <w:tcW w:w="2130" w:type="dxa"/>
            <w:vAlign w:val="center"/>
          </w:tcPr>
          <w:p w14:paraId="77A69DF6" w14:textId="77777777" w:rsidR="00C32A41" w:rsidRDefault="00B721B3">
            <w:pPr>
              <w:ind w:right="21"/>
              <w:jc w:val="center"/>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0,20</w:t>
            </w:r>
          </w:p>
        </w:tc>
      </w:tr>
    </w:tbl>
    <w:p w14:paraId="7763FC67" w14:textId="77777777" w:rsidR="00C32A41" w:rsidRDefault="00C32A41">
      <w:pPr>
        <w:ind w:right="21"/>
        <w:jc w:val="both"/>
        <w:rPr>
          <w:rFonts w:ascii="Arial" w:hAnsi="Arial" w:cs="Arial"/>
          <w:snapToGrid w:val="0"/>
          <w:color w:val="000000"/>
          <w:sz w:val="18"/>
          <w:szCs w:val="18"/>
        </w:rPr>
      </w:pPr>
    </w:p>
    <w:p w14:paraId="51D7048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40D5E532" w14:textId="77777777" w:rsidR="00C32A41" w:rsidRDefault="00C32A41">
      <w:pPr>
        <w:ind w:right="21"/>
        <w:jc w:val="both"/>
        <w:rPr>
          <w:rFonts w:ascii="Arial" w:hAnsi="Arial" w:cs="Arial"/>
          <w:snapToGrid w:val="0"/>
          <w:color w:val="000000"/>
          <w:sz w:val="18"/>
          <w:szCs w:val="18"/>
        </w:rPr>
      </w:pPr>
    </w:p>
    <w:p w14:paraId="68C67871" w14:textId="77777777" w:rsidR="00C32A41" w:rsidRDefault="00B721B3">
      <w:pPr>
        <w:pStyle w:val="Nagwek2"/>
        <w:spacing w:before="0" w:after="60"/>
        <w:rPr>
          <w:rFonts w:ascii="Arial" w:hAnsi="Arial" w:cs="Arial"/>
          <w:snapToGrid w:val="0"/>
          <w:color w:val="000000"/>
          <w:sz w:val="18"/>
          <w:szCs w:val="18"/>
        </w:rPr>
      </w:pPr>
      <w:r>
        <w:rPr>
          <w:rFonts w:ascii="Arial" w:hAnsi="Arial" w:cs="Arial"/>
          <w:snapToGrid w:val="0"/>
          <w:color w:val="000000"/>
          <w:sz w:val="18"/>
          <w:szCs w:val="18"/>
        </w:rPr>
        <w:t>6.2.1.2.4. Uziarnienie mieszanki mineralnej</w:t>
      </w:r>
    </w:p>
    <w:p w14:paraId="2107799E" w14:textId="77777777" w:rsidR="00C32A41" w:rsidRDefault="00B721B3">
      <w:pPr>
        <w:ind w:right="7" w:firstLine="567"/>
        <w:jc w:val="both"/>
        <w:rPr>
          <w:rFonts w:ascii="Arial" w:hAnsi="Arial" w:cs="Arial"/>
          <w:snapToGrid w:val="0"/>
          <w:color w:val="000000"/>
          <w:sz w:val="18"/>
          <w:szCs w:val="18"/>
        </w:rPr>
      </w:pPr>
      <w:r>
        <w:rPr>
          <w:rFonts w:ascii="Arial" w:hAnsi="Arial" w:cs="Arial"/>
          <w:snapToGrid w:val="0"/>
          <w:color w:val="000000"/>
          <w:sz w:val="18"/>
          <w:szCs w:val="18"/>
        </w:rPr>
        <w:t>Po wykonaniu ekstrakcji lepiszcza należy przeprowadzić kontrolę uziarnienia wyekstrahowanej mieszanki mineralnej zgodnie z PN-EN 12697-2.</w:t>
      </w:r>
    </w:p>
    <w:p w14:paraId="36D171D3"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1C0873D0" w14:textId="77777777" w:rsidR="00C32A41" w:rsidRDefault="00B721B3">
      <w:pPr>
        <w:ind w:firstLine="567"/>
        <w:rPr>
          <w:rFonts w:ascii="Arial" w:hAnsi="Arial" w:cs="Arial"/>
          <w:snapToGrid w:val="0"/>
          <w:color w:val="000000"/>
          <w:sz w:val="18"/>
          <w:szCs w:val="18"/>
        </w:rPr>
      </w:pPr>
      <w:r>
        <w:rPr>
          <w:rFonts w:ascii="Arial" w:hAnsi="Arial" w:cs="Arial"/>
          <w:snapToGrid w:val="0"/>
          <w:color w:val="000000"/>
          <w:sz w:val="18"/>
          <w:szCs w:val="18"/>
        </w:rPr>
        <w:t>Jakość mieszanki mineralnej należy ocenić na podstawie:</w:t>
      </w:r>
    </w:p>
    <w:p w14:paraId="0B4FA2F8"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wartości średniej (średnia arytmetyczna wszystkich wyników z całej drogi dla danego typu MMA i danej warstwy asfaltowej) z dokładnością do 0,1%</w:t>
      </w:r>
    </w:p>
    <w:p w14:paraId="092BC49C" w14:textId="77777777" w:rsidR="00C32A41" w:rsidRDefault="00B721B3">
      <w:pPr>
        <w:pStyle w:val="Akapitzlist"/>
        <w:numPr>
          <w:ilvl w:val="0"/>
          <w:numId w:val="32"/>
        </w:numPr>
        <w:ind w:left="284" w:right="7" w:hanging="284"/>
        <w:jc w:val="both"/>
        <w:rPr>
          <w:rFonts w:ascii="Arial" w:hAnsi="Arial" w:cs="Arial"/>
          <w:snapToGrid w:val="0"/>
          <w:color w:val="000000"/>
          <w:sz w:val="18"/>
          <w:szCs w:val="18"/>
        </w:rPr>
      </w:pPr>
      <w:r>
        <w:rPr>
          <w:rFonts w:ascii="Arial" w:hAnsi="Arial" w:cs="Arial"/>
          <w:snapToGrid w:val="0"/>
          <w:color w:val="000000"/>
          <w:sz w:val="18"/>
          <w:szCs w:val="18"/>
        </w:rPr>
        <w:t>wielkości odchyłki obliczonej dla pojedynczego wyniku (próbki) z dokładnością do 0,1 % dla sita #0,063mm i z dokładnością do 1 % dla pozostałych sit.</w:t>
      </w:r>
    </w:p>
    <w:p w14:paraId="6F225735"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Wyżej wymienione kryteria należy stosować jednocześnie.</w:t>
      </w:r>
    </w:p>
    <w:p w14:paraId="1378717C" w14:textId="77777777" w:rsidR="00C32A41" w:rsidRDefault="00B721B3">
      <w:pPr>
        <w:ind w:right="21" w:firstLine="567"/>
        <w:jc w:val="both"/>
        <w:rPr>
          <w:rFonts w:ascii="Arial" w:hAnsi="Arial" w:cs="Arial"/>
          <w:snapToGrid w:val="0"/>
          <w:color w:val="000000"/>
          <w:sz w:val="18"/>
          <w:szCs w:val="18"/>
        </w:rPr>
      </w:pPr>
      <w:r>
        <w:rPr>
          <w:rFonts w:ascii="Arial" w:hAnsi="Arial" w:cs="Arial"/>
          <w:snapToGrid w:val="0"/>
          <w:color w:val="000000"/>
          <w:sz w:val="18"/>
          <w:szCs w:val="18"/>
        </w:rPr>
        <w:t>Dopuszczalne wartości odchyłek w zakresie składu mieszanki mineralnej dla pojedynczego wyniku oraz dla wartości średniej podano w Tablicy nr 9.</w:t>
      </w:r>
    </w:p>
    <w:p w14:paraId="0EA664D0" w14:textId="77777777" w:rsidR="00C32A41" w:rsidRDefault="00C32A41">
      <w:pPr>
        <w:ind w:right="21" w:firstLine="567"/>
        <w:jc w:val="both"/>
        <w:rPr>
          <w:rFonts w:ascii="Arial" w:hAnsi="Arial" w:cs="Arial"/>
          <w:snapToGrid w:val="0"/>
          <w:color w:val="000000"/>
          <w:sz w:val="18"/>
          <w:szCs w:val="18"/>
        </w:rPr>
      </w:pPr>
    </w:p>
    <w:p w14:paraId="20762CF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rPr>
        <w:br w:type="page"/>
      </w:r>
    </w:p>
    <w:p w14:paraId="70A802C7" w14:textId="77777777" w:rsidR="00C32A41" w:rsidRDefault="00B721B3">
      <w:pPr>
        <w:ind w:left="993" w:right="21" w:hanging="993"/>
        <w:jc w:val="both"/>
        <w:rPr>
          <w:rFonts w:ascii="Arial" w:hAnsi="Arial" w:cs="Arial"/>
          <w:snapToGrid w:val="0"/>
          <w:color w:val="000000"/>
          <w:sz w:val="18"/>
          <w:szCs w:val="18"/>
        </w:rPr>
      </w:pPr>
      <w:r>
        <w:rPr>
          <w:rFonts w:ascii="Arial" w:hAnsi="Arial" w:cs="Arial"/>
          <w:snapToGrid w:val="0"/>
          <w:color w:val="000000"/>
          <w:sz w:val="18"/>
          <w:szCs w:val="18"/>
        </w:rPr>
        <w:lastRenderedPageBreak/>
        <w:t>Tablica nr 9. Dopuszczalne wartości odchyłek w zakresie zawartości ziaren w mieszance mineralno-asfaltowej AC 16 W.</w:t>
      </w:r>
    </w:p>
    <w:p w14:paraId="787F8094" w14:textId="77777777" w:rsidR="00C32A41" w:rsidRDefault="00C32A41">
      <w:pPr>
        <w:ind w:right="21"/>
        <w:jc w:val="both"/>
        <w:rPr>
          <w:rFonts w:ascii="Arial" w:hAnsi="Arial" w:cs="Arial"/>
          <w:snapToGrid w:val="0"/>
          <w:color w:val="000000"/>
          <w:sz w:val="18"/>
          <w:szCs w:val="18"/>
        </w:rPr>
      </w:pPr>
    </w:p>
    <w:tbl>
      <w:tblPr>
        <w:tblW w:w="7592" w:type="dxa"/>
        <w:tblInd w:w="645" w:type="dxa"/>
        <w:tblLayout w:type="fixed"/>
        <w:tblCellMar>
          <w:top w:w="24" w:type="dxa"/>
          <w:left w:w="787" w:type="dxa"/>
          <w:right w:w="216" w:type="dxa"/>
        </w:tblCellMar>
        <w:tblLook w:val="04A0" w:firstRow="1" w:lastRow="0" w:firstColumn="1" w:lastColumn="0" w:noHBand="0" w:noVBand="1"/>
      </w:tblPr>
      <w:tblGrid>
        <w:gridCol w:w="3119"/>
        <w:gridCol w:w="2268"/>
        <w:gridCol w:w="2205"/>
      </w:tblGrid>
      <w:tr w:rsidR="00C32A41" w14:paraId="59BDC1C0" w14:textId="77777777">
        <w:trPr>
          <w:trHeight w:val="242"/>
        </w:trPr>
        <w:tc>
          <w:tcPr>
            <w:tcW w:w="311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4E74AA5F"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Oceniany parametr</w:t>
            </w:r>
          </w:p>
          <w:p w14:paraId="6CB8DB0C" w14:textId="77777777" w:rsidR="00C32A41" w:rsidRDefault="00B721B3">
            <w:pPr>
              <w:ind w:left="-361" w:right="21" w:hanging="361"/>
              <w:jc w:val="center"/>
              <w:rPr>
                <w:rFonts w:ascii="Arial" w:hAnsi="Arial" w:cs="Arial"/>
                <w:snapToGrid w:val="0"/>
                <w:color w:val="000000"/>
                <w:sz w:val="18"/>
                <w:szCs w:val="18"/>
              </w:rPr>
            </w:pPr>
            <w:r>
              <w:rPr>
                <w:rFonts w:ascii="Arial" w:hAnsi="Arial" w:cs="Arial"/>
                <w:snapToGrid w:val="0"/>
                <w:color w:val="000000"/>
                <w:sz w:val="18"/>
                <w:szCs w:val="18"/>
              </w:rPr>
              <w:t>— przechodzi przez sito #/mm</w:t>
            </w:r>
          </w:p>
        </w:tc>
        <w:tc>
          <w:tcPr>
            <w:tcW w:w="4473" w:type="dxa"/>
            <w:gridSpan w:val="2"/>
            <w:tcBorders>
              <w:top w:val="single" w:sz="2" w:space="0" w:color="000000"/>
              <w:left w:val="single" w:sz="2" w:space="0" w:color="000000"/>
              <w:bottom w:val="single" w:sz="2" w:space="0" w:color="000000"/>
              <w:right w:val="single" w:sz="2" w:space="0" w:color="000000"/>
            </w:tcBorders>
            <w:shd w:val="clear" w:color="auto" w:fill="auto"/>
          </w:tcPr>
          <w:p w14:paraId="0AB841B7" w14:textId="77777777" w:rsidR="00C32A41" w:rsidRDefault="00B721B3">
            <w:pPr>
              <w:ind w:left="919" w:right="21"/>
              <w:rPr>
                <w:rFonts w:ascii="Arial" w:hAnsi="Arial" w:cs="Arial"/>
                <w:snapToGrid w:val="0"/>
                <w:color w:val="000000"/>
                <w:sz w:val="18"/>
                <w:szCs w:val="18"/>
              </w:rPr>
            </w:pPr>
            <w:r>
              <w:rPr>
                <w:rFonts w:ascii="Arial" w:hAnsi="Arial" w:cs="Arial"/>
                <w:snapToGrid w:val="0"/>
                <w:color w:val="000000"/>
                <w:sz w:val="18"/>
                <w:szCs w:val="18"/>
              </w:rPr>
              <w:t>Dopuszczalna odchyłka [%]</w:t>
            </w:r>
          </w:p>
        </w:tc>
      </w:tr>
      <w:tr w:rsidR="00C32A41" w14:paraId="05DE89D6" w14:textId="77777777">
        <w:trPr>
          <w:trHeight w:val="655"/>
        </w:trPr>
        <w:tc>
          <w:tcPr>
            <w:tcW w:w="3119" w:type="dxa"/>
            <w:vMerge/>
            <w:tcBorders>
              <w:top w:val="nil"/>
              <w:left w:val="single" w:sz="2" w:space="0" w:color="000000"/>
              <w:bottom w:val="single" w:sz="2" w:space="0" w:color="000000"/>
              <w:right w:val="single" w:sz="2" w:space="0" w:color="000000"/>
            </w:tcBorders>
            <w:shd w:val="clear" w:color="auto" w:fill="auto"/>
          </w:tcPr>
          <w:p w14:paraId="5FBECC66" w14:textId="77777777" w:rsidR="00C32A41" w:rsidRDefault="00C32A41">
            <w:pPr>
              <w:ind w:right="21"/>
              <w:jc w:val="both"/>
              <w:rPr>
                <w:rFonts w:ascii="Arial" w:hAnsi="Arial" w:cs="Arial"/>
                <w:snapToGrid w:val="0"/>
                <w:color w:val="000000"/>
                <w:sz w:val="18"/>
                <w:szCs w:val="18"/>
              </w:rPr>
            </w:pP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5B4433E"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Dla pojedynczego</w:t>
            </w:r>
          </w:p>
          <w:p w14:paraId="5F84615C" w14:textId="77777777" w:rsidR="00C32A41" w:rsidRDefault="00B721B3">
            <w:pPr>
              <w:ind w:left="-503" w:right="21" w:hanging="169"/>
              <w:jc w:val="center"/>
              <w:rPr>
                <w:rFonts w:ascii="Arial" w:hAnsi="Arial" w:cs="Arial"/>
                <w:snapToGrid w:val="0"/>
                <w:color w:val="000000"/>
                <w:sz w:val="18"/>
                <w:szCs w:val="18"/>
              </w:rPr>
            </w:pPr>
            <w:r>
              <w:rPr>
                <w:rFonts w:ascii="Arial" w:hAnsi="Arial" w:cs="Arial"/>
                <w:snapToGrid w:val="0"/>
                <w:color w:val="000000"/>
                <w:sz w:val="18"/>
                <w:szCs w:val="18"/>
              </w:rPr>
              <w:t>wyniku</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7497FD55" w14:textId="77777777" w:rsidR="00C32A41" w:rsidRDefault="00B721B3">
            <w:pPr>
              <w:tabs>
                <w:tab w:val="left" w:pos="914"/>
              </w:tabs>
              <w:ind w:left="-362" w:right="21" w:hanging="141"/>
              <w:jc w:val="center"/>
              <w:rPr>
                <w:rFonts w:ascii="Arial" w:hAnsi="Arial" w:cs="Arial"/>
                <w:snapToGrid w:val="0"/>
                <w:color w:val="000000"/>
                <w:sz w:val="18"/>
                <w:szCs w:val="18"/>
              </w:rPr>
            </w:pPr>
            <w:r>
              <w:rPr>
                <w:rFonts w:ascii="Arial" w:hAnsi="Arial" w:cs="Arial"/>
                <w:snapToGrid w:val="0"/>
                <w:color w:val="000000"/>
                <w:sz w:val="18"/>
                <w:szCs w:val="18"/>
              </w:rPr>
              <w:t>Dla wartości średniej</w:t>
            </w:r>
          </w:p>
        </w:tc>
      </w:tr>
      <w:tr w:rsidR="00C32A41" w14:paraId="08C7CF24"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5A9635"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0,063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F414353"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3,0</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5C09959"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1,5</w:t>
            </w:r>
          </w:p>
        </w:tc>
      </w:tr>
      <w:tr w:rsidR="00C32A41" w14:paraId="78D69F82"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624974"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0,125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9A8DBE0"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5E082093"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2</w:t>
            </w:r>
          </w:p>
        </w:tc>
      </w:tr>
      <w:tr w:rsidR="00C32A41" w14:paraId="7E94792B" w14:textId="77777777">
        <w:trPr>
          <w:trHeight w:val="230"/>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244F2"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E0BE888"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6</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69E48378"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3</w:t>
            </w:r>
          </w:p>
        </w:tc>
      </w:tr>
      <w:tr w:rsidR="00C32A41" w14:paraId="02C049DE" w14:textId="77777777">
        <w:trPr>
          <w:trHeight w:val="449"/>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0F95A03"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D/2 lub sito</w:t>
            </w:r>
          </w:p>
          <w:p w14:paraId="18FEF471"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charakterystyczne</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7F4543E" w14:textId="77777777" w:rsidR="00C32A41" w:rsidRDefault="00B721B3">
            <w:pPr>
              <w:ind w:right="21"/>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7</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4350830C"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4</w:t>
            </w:r>
          </w:p>
        </w:tc>
      </w:tr>
      <w:tr w:rsidR="00C32A41" w14:paraId="23666FFE" w14:textId="77777777">
        <w:trPr>
          <w:trHeight w:val="228"/>
        </w:trPr>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5DE6958" w14:textId="77777777" w:rsidR="00C32A41" w:rsidRDefault="00B721B3">
            <w:pPr>
              <w:ind w:left="-503" w:right="21" w:hanging="645"/>
              <w:jc w:val="center"/>
              <w:rPr>
                <w:rFonts w:ascii="Arial" w:hAnsi="Arial" w:cs="Arial"/>
                <w:snapToGrid w:val="0"/>
                <w:color w:val="000000"/>
                <w:sz w:val="18"/>
                <w:szCs w:val="18"/>
              </w:rPr>
            </w:pPr>
            <w:r>
              <w:rPr>
                <w:rFonts w:ascii="Arial" w:hAnsi="Arial" w:cs="Arial"/>
                <w:snapToGrid w:val="0"/>
                <w:color w:val="000000"/>
                <w:sz w:val="18"/>
                <w:szCs w:val="18"/>
              </w:rPr>
              <w:t>D</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07C2871" w14:textId="77777777" w:rsidR="00C32A41" w:rsidRDefault="00B721B3">
            <w:pPr>
              <w:ind w:right="21"/>
              <w:jc w:val="both"/>
              <w:rPr>
                <w:rFonts w:ascii="Arial" w:hAnsi="Arial" w:cs="Arial"/>
                <w:snapToGrid w:val="0"/>
                <w:color w:val="000000"/>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8</w:t>
            </w:r>
          </w:p>
        </w:tc>
        <w:tc>
          <w:tcPr>
            <w:tcW w:w="2205" w:type="dxa"/>
            <w:tcBorders>
              <w:top w:val="single" w:sz="2" w:space="0" w:color="000000"/>
              <w:left w:val="single" w:sz="2" w:space="0" w:color="000000"/>
              <w:bottom w:val="single" w:sz="2" w:space="0" w:color="000000"/>
              <w:right w:val="single" w:sz="2" w:space="0" w:color="000000"/>
            </w:tcBorders>
            <w:shd w:val="clear" w:color="auto" w:fill="auto"/>
          </w:tcPr>
          <w:p w14:paraId="16284EDF" w14:textId="77777777" w:rsidR="00C32A41" w:rsidRDefault="00B721B3">
            <w:pPr>
              <w:rPr>
                <w:rFonts w:ascii="Arial" w:hAnsi="Arial" w:cs="Arial"/>
                <w:sz w:val="18"/>
                <w:szCs w:val="18"/>
              </w:rPr>
            </w:pPr>
            <w:r>
              <w:rPr>
                <w:rFonts w:ascii="Arial" w:hAnsi="Arial" w:cs="Arial"/>
                <w:snapToGrid w:val="0"/>
                <w:color w:val="000000"/>
                <w:sz w:val="18"/>
                <w:szCs w:val="18"/>
                <w:u w:val="single"/>
              </w:rPr>
              <w:t>&lt;</w:t>
            </w:r>
            <w:r>
              <w:rPr>
                <w:rFonts w:ascii="Arial" w:hAnsi="Arial" w:cs="Arial"/>
                <w:snapToGrid w:val="0"/>
                <w:color w:val="000000"/>
                <w:sz w:val="18"/>
                <w:szCs w:val="18"/>
              </w:rPr>
              <w:t xml:space="preserve"> 5</w:t>
            </w:r>
          </w:p>
        </w:tc>
      </w:tr>
    </w:tbl>
    <w:p w14:paraId="2BE338D8" w14:textId="77777777" w:rsidR="00C32A41" w:rsidRDefault="00C32A41">
      <w:pPr>
        <w:rPr>
          <w:rFonts w:ascii="Arial" w:hAnsi="Arial" w:cs="Arial"/>
          <w:sz w:val="18"/>
          <w:szCs w:val="18"/>
        </w:rPr>
      </w:pPr>
    </w:p>
    <w:p w14:paraId="47087A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6.2.1.2.5. Zawartość wolnych przestrzeni w mieszance AC 16 W</w:t>
      </w:r>
    </w:p>
    <w:p w14:paraId="2B535DE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Zawartość wolnych przestrzeni w próbkach Marshalla z pobranej mieszanki mineralno-asfaltowej lub wyjątkowo z rozgrzanej próbki nawierzchni nie może przekroczyć wartości podanych w Tablicy 4.</w:t>
      </w:r>
    </w:p>
    <w:p w14:paraId="3845399C" w14:textId="77777777" w:rsidR="00C32A41" w:rsidRDefault="00C32A41">
      <w:pPr>
        <w:tabs>
          <w:tab w:val="left" w:pos="1008"/>
          <w:tab w:val="left" w:pos="7459"/>
        </w:tabs>
        <w:rPr>
          <w:rFonts w:ascii="Arial" w:hAnsi="Arial" w:cs="Arial"/>
          <w:snapToGrid w:val="0"/>
          <w:color w:val="000000"/>
          <w:sz w:val="18"/>
          <w:szCs w:val="18"/>
        </w:rPr>
      </w:pPr>
    </w:p>
    <w:p w14:paraId="52BFEA57"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6.2.1.2.6. Pomiar grubości warstwy</w:t>
      </w:r>
    </w:p>
    <w:p w14:paraId="278DEF30" w14:textId="77777777" w:rsidR="00C32A41" w:rsidRDefault="00B721B3">
      <w:pPr>
        <w:ind w:firstLine="567"/>
        <w:jc w:val="both"/>
        <w:rPr>
          <w:rFonts w:ascii="Arial" w:hAnsi="Arial" w:cs="Arial"/>
          <w:sz w:val="18"/>
          <w:szCs w:val="18"/>
        </w:rPr>
      </w:pPr>
      <w:r>
        <w:rPr>
          <w:rFonts w:ascii="Arial" w:hAnsi="Arial" w:cs="Arial"/>
          <w:sz w:val="18"/>
          <w:szCs w:val="18"/>
        </w:rPr>
        <w:t xml:space="preserve">Sprawdzenie grubości na etapie wbudowywania mieszanki (przed rozpoczęciem zagęszczania) należy wykonywać z częstotliwością co 25m na krawędzi każdej jezdni i w jej osi. </w:t>
      </w:r>
    </w:p>
    <w:p w14:paraId="0B1DC747" w14:textId="77777777" w:rsidR="00C32A41" w:rsidRDefault="00B721B3">
      <w:pPr>
        <w:ind w:firstLine="567"/>
        <w:jc w:val="both"/>
        <w:rPr>
          <w:rFonts w:ascii="Arial" w:hAnsi="Arial" w:cs="Arial"/>
          <w:sz w:val="18"/>
          <w:szCs w:val="18"/>
        </w:rPr>
      </w:pPr>
      <w:r>
        <w:rPr>
          <w:rFonts w:ascii="Arial" w:hAnsi="Arial" w:cs="Arial"/>
          <w:sz w:val="18"/>
          <w:szCs w:val="18"/>
        </w:rPr>
        <w:t>Grubość wykonanej warstwy należy określać na podstawie próbek wyciętych z nawierzchni. Wymagana średnia grubość dla poszczególnych warstw asfaltowych oraz wymagana średnia grubość dla całego pakietu tych warstw powinna być zgodna z grubością przyjętą w projekcie konstrukcji nawierzchni.</w:t>
      </w:r>
    </w:p>
    <w:p w14:paraId="1072A32C" w14:textId="77777777" w:rsidR="00C32A41" w:rsidRDefault="00B721B3">
      <w:pPr>
        <w:ind w:firstLine="567"/>
        <w:jc w:val="both"/>
        <w:rPr>
          <w:rFonts w:ascii="Arial" w:hAnsi="Arial" w:cs="Arial"/>
          <w:sz w:val="18"/>
          <w:szCs w:val="18"/>
        </w:rPr>
      </w:pPr>
      <w:r>
        <w:rPr>
          <w:rFonts w:ascii="Arial" w:hAnsi="Arial" w:cs="Arial"/>
          <w:sz w:val="18"/>
          <w:szCs w:val="18"/>
        </w:rPr>
        <w:t xml:space="preserve">Jedynie w przypadku pojedynczych wyników pomiarów grubości wbudowanej warstwy, dopuszcza się różnice w stosunku do grubości przyjętej w pakiecie konstrukcji nawierzchni nie więcej niż o 5% w przypadku warstwy ścieralnej i 10% w przypadku pozostałych warstw. </w:t>
      </w:r>
    </w:p>
    <w:p w14:paraId="18EA8130" w14:textId="77777777" w:rsidR="00C32A41" w:rsidRDefault="00B721B3">
      <w:pPr>
        <w:ind w:firstLine="567"/>
        <w:jc w:val="both"/>
        <w:rPr>
          <w:rFonts w:ascii="Arial" w:hAnsi="Arial" w:cs="Arial"/>
          <w:sz w:val="18"/>
          <w:szCs w:val="18"/>
        </w:rPr>
      </w:pPr>
      <w:r>
        <w:rPr>
          <w:rFonts w:ascii="Arial" w:hAnsi="Arial" w:cs="Arial"/>
          <w:sz w:val="18"/>
          <w:szCs w:val="18"/>
        </w:rPr>
        <w:t>Maksymalne wartości różnicy grubości średniej i grubości dla pojedynczych pomiarów przedstawia Tablica 10.</w:t>
      </w:r>
    </w:p>
    <w:p w14:paraId="776ADCBC" w14:textId="77777777" w:rsidR="00C32A41" w:rsidRDefault="00C32A41">
      <w:pPr>
        <w:jc w:val="both"/>
        <w:rPr>
          <w:rFonts w:ascii="Arial" w:hAnsi="Arial" w:cs="Arial"/>
          <w:sz w:val="18"/>
          <w:szCs w:val="18"/>
        </w:rPr>
      </w:pPr>
    </w:p>
    <w:p w14:paraId="59A31161" w14:textId="77777777" w:rsidR="00C32A41" w:rsidRDefault="00B721B3">
      <w:pPr>
        <w:jc w:val="both"/>
        <w:rPr>
          <w:rFonts w:ascii="Arial" w:hAnsi="Arial" w:cs="Arial"/>
          <w:sz w:val="18"/>
          <w:szCs w:val="18"/>
        </w:rPr>
      </w:pPr>
      <w:r>
        <w:rPr>
          <w:rFonts w:ascii="Arial" w:hAnsi="Arial" w:cs="Arial"/>
          <w:sz w:val="18"/>
          <w:szCs w:val="18"/>
        </w:rPr>
        <w:t>Tablica 10. Maksymalne wartości różnicy grubości.</w:t>
      </w:r>
    </w:p>
    <w:p w14:paraId="5FDEA475" w14:textId="77777777" w:rsidR="00C32A41" w:rsidRDefault="00C32A41">
      <w:pPr>
        <w:jc w:val="both"/>
        <w:rPr>
          <w:rFonts w:ascii="Arial" w:hAnsi="Arial" w:cs="Arial"/>
          <w:sz w:val="18"/>
          <w:szCs w:val="1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239"/>
        <w:gridCol w:w="1358"/>
        <w:gridCol w:w="1358"/>
        <w:gridCol w:w="1359"/>
      </w:tblGrid>
      <w:tr w:rsidR="00C32A41" w14:paraId="6E3D0DC6" w14:textId="77777777">
        <w:tc>
          <w:tcPr>
            <w:tcW w:w="2972" w:type="dxa"/>
            <w:tcBorders>
              <w:top w:val="single" w:sz="4" w:space="0" w:color="auto"/>
              <w:left w:val="single" w:sz="4" w:space="0" w:color="auto"/>
              <w:bottom w:val="single" w:sz="4" w:space="0" w:color="auto"/>
              <w:right w:val="single" w:sz="4" w:space="0" w:color="auto"/>
            </w:tcBorders>
            <w:shd w:val="clear" w:color="auto" w:fill="auto"/>
          </w:tcPr>
          <w:p w14:paraId="7B57FDC2" w14:textId="77777777" w:rsidR="00C32A41" w:rsidRDefault="00C32A41">
            <w:pPr>
              <w:jc w:val="center"/>
              <w:rPr>
                <w:rFonts w:ascii="Arial" w:eastAsia="Calibri" w:hAnsi="Arial" w:cs="Arial"/>
                <w:sz w:val="18"/>
                <w:szCs w:val="18"/>
                <w:lang w:eastAsia="en-US"/>
              </w:rPr>
            </w:pP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79AEF2D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Pakiet: warstwa ścieralna + wiążąca</w:t>
            </w:r>
          </w:p>
          <w:p w14:paraId="47A6E338"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podbudowa asfaltowa; razem</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867AF5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ścieralna</w:t>
            </w:r>
          </w:p>
        </w:tc>
        <w:tc>
          <w:tcPr>
            <w:tcW w:w="1358" w:type="dxa"/>
            <w:tcBorders>
              <w:top w:val="single" w:sz="4" w:space="0" w:color="auto"/>
              <w:left w:val="single" w:sz="4" w:space="0" w:color="auto"/>
              <w:bottom w:val="single" w:sz="4" w:space="0" w:color="auto"/>
              <w:right w:val="single" w:sz="4" w:space="0" w:color="auto"/>
            </w:tcBorders>
            <w:shd w:val="clear" w:color="auto" w:fill="auto"/>
            <w:hideMark/>
          </w:tcPr>
          <w:p w14:paraId="6CBE67D5"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wiążąca</w:t>
            </w:r>
          </w:p>
        </w:tc>
        <w:tc>
          <w:tcPr>
            <w:tcW w:w="1359" w:type="dxa"/>
            <w:tcBorders>
              <w:top w:val="single" w:sz="4" w:space="0" w:color="auto"/>
              <w:left w:val="single" w:sz="4" w:space="0" w:color="auto"/>
              <w:bottom w:val="single" w:sz="4" w:space="0" w:color="auto"/>
              <w:right w:val="single" w:sz="4" w:space="0" w:color="auto"/>
            </w:tcBorders>
            <w:shd w:val="clear" w:color="auto" w:fill="auto"/>
            <w:hideMark/>
          </w:tcPr>
          <w:p w14:paraId="5FA23E4E"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Warstwa podbudowy</w:t>
            </w:r>
          </w:p>
        </w:tc>
      </w:tr>
      <w:tr w:rsidR="00C32A41" w14:paraId="0E42866A"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466429"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Dla wartości średniej grubości wbudowanej warstwy z całego odcinka budowy</w:t>
            </w:r>
          </w:p>
        </w:tc>
        <w:tc>
          <w:tcPr>
            <w:tcW w:w="6314"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7D3CDB" w14:textId="77777777" w:rsidR="00C32A41" w:rsidRDefault="00C32A41">
            <w:pPr>
              <w:jc w:val="center"/>
              <w:rPr>
                <w:rFonts w:ascii="Arial" w:eastAsia="Calibri" w:hAnsi="Arial" w:cs="Arial"/>
                <w:sz w:val="18"/>
                <w:szCs w:val="18"/>
                <w:lang w:eastAsia="en-US"/>
              </w:rPr>
            </w:pPr>
          </w:p>
          <w:p w14:paraId="39946DBC"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Nie dopuszcza się zaniżenia grubości</w:t>
            </w:r>
          </w:p>
        </w:tc>
      </w:tr>
      <w:tr w:rsidR="00C32A41" w14:paraId="0566C010" w14:textId="77777777">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B3E11" w14:textId="77777777" w:rsidR="00C32A41" w:rsidRDefault="00B721B3">
            <w:pPr>
              <w:rPr>
                <w:rFonts w:ascii="Arial" w:eastAsia="Calibri" w:hAnsi="Arial" w:cs="Arial"/>
                <w:sz w:val="18"/>
                <w:szCs w:val="18"/>
                <w:lang w:eastAsia="en-US"/>
              </w:rPr>
            </w:pPr>
            <w:r>
              <w:rPr>
                <w:rFonts w:ascii="Arial" w:eastAsia="Calibri" w:hAnsi="Arial" w:cs="Arial"/>
                <w:sz w:val="18"/>
                <w:szCs w:val="18"/>
                <w:lang w:eastAsia="en-US"/>
              </w:rPr>
              <w:t xml:space="preserve">Dla pojedynczych wyników pomiarów grubości wbudowanej warstwy </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AF8D66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 xml:space="preserve">0 ÷ 10%, </w:t>
            </w:r>
          </w:p>
          <w:p w14:paraId="37474C5F"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ale nie więcej niż 1cm</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549AFA7"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5%,</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6E47D06"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769D2379" w14:textId="77777777" w:rsidR="00C32A41" w:rsidRDefault="00B721B3">
            <w:pPr>
              <w:jc w:val="center"/>
              <w:rPr>
                <w:rFonts w:ascii="Arial" w:eastAsia="Calibri" w:hAnsi="Arial" w:cs="Arial"/>
                <w:sz w:val="18"/>
                <w:szCs w:val="18"/>
                <w:lang w:eastAsia="en-US"/>
              </w:rPr>
            </w:pPr>
            <w:r>
              <w:rPr>
                <w:rFonts w:ascii="Arial" w:eastAsia="Calibri" w:hAnsi="Arial" w:cs="Arial"/>
                <w:sz w:val="18"/>
                <w:szCs w:val="18"/>
                <w:lang w:eastAsia="en-US"/>
              </w:rPr>
              <w:t>0 ÷ 10%,</w:t>
            </w:r>
          </w:p>
        </w:tc>
      </w:tr>
    </w:tbl>
    <w:p w14:paraId="51E2D6E4" w14:textId="77777777" w:rsidR="00C32A41" w:rsidRDefault="00C32A41">
      <w:pPr>
        <w:jc w:val="both"/>
        <w:rPr>
          <w:rFonts w:ascii="Arial" w:hAnsi="Arial" w:cs="Arial"/>
          <w:sz w:val="18"/>
          <w:szCs w:val="18"/>
        </w:rPr>
      </w:pPr>
    </w:p>
    <w:p w14:paraId="065AC1B2" w14:textId="77777777" w:rsidR="00C32A41" w:rsidRDefault="00B721B3">
      <w:pPr>
        <w:jc w:val="both"/>
        <w:rPr>
          <w:rFonts w:ascii="Arial" w:hAnsi="Arial" w:cs="Arial"/>
          <w:sz w:val="18"/>
          <w:szCs w:val="18"/>
        </w:rPr>
      </w:pPr>
      <w:r>
        <w:rPr>
          <w:rFonts w:ascii="Arial" w:hAnsi="Arial" w:cs="Arial"/>
          <w:sz w:val="18"/>
          <w:szCs w:val="18"/>
        </w:rPr>
        <w:t>Zwiększone grubości poszczególnych warstw będą zaliczane jako wyrównanie ewentualnych niedoborów niżej leżącej warstwy.</w:t>
      </w:r>
    </w:p>
    <w:p w14:paraId="62C58D79" w14:textId="77777777" w:rsidR="00C32A41" w:rsidRDefault="00C32A41">
      <w:pPr>
        <w:tabs>
          <w:tab w:val="left" w:pos="1008"/>
          <w:tab w:val="left" w:pos="7459"/>
        </w:tabs>
        <w:rPr>
          <w:rFonts w:ascii="Arial" w:hAnsi="Arial" w:cs="Arial"/>
          <w:b/>
          <w:snapToGrid w:val="0"/>
          <w:color w:val="000000"/>
          <w:sz w:val="18"/>
          <w:szCs w:val="18"/>
        </w:rPr>
      </w:pPr>
    </w:p>
    <w:p w14:paraId="4FD1438E"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6.2.1.2.7. Wskaźnik zagęszczenia warstwy</w:t>
      </w:r>
    </w:p>
    <w:p w14:paraId="2A198E4E"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31751982"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Oznaczenie gęstości objętościowej należy wykonywać zgodnie z PN-EN 12697-6. Wyniki powinny być zgodne z wymaganiami podanymi w Tablicy 6.</w:t>
      </w:r>
    </w:p>
    <w:p w14:paraId="74605B87" w14:textId="77777777" w:rsidR="00C32A41" w:rsidRDefault="00C32A41">
      <w:pPr>
        <w:jc w:val="both"/>
        <w:rPr>
          <w:rFonts w:ascii="Arial" w:hAnsi="Arial" w:cs="Arial"/>
          <w:snapToGrid w:val="0"/>
          <w:color w:val="000000"/>
          <w:sz w:val="18"/>
          <w:szCs w:val="18"/>
        </w:rPr>
      </w:pPr>
    </w:p>
    <w:p w14:paraId="2FA438F0" w14:textId="77777777" w:rsidR="00C32A41" w:rsidRDefault="00B721B3">
      <w:pPr>
        <w:spacing w:after="60"/>
        <w:rPr>
          <w:rFonts w:ascii="Arial" w:hAnsi="Arial" w:cs="Arial"/>
          <w:b/>
          <w:snapToGrid w:val="0"/>
          <w:color w:val="000000"/>
          <w:sz w:val="18"/>
          <w:szCs w:val="18"/>
        </w:rPr>
      </w:pPr>
      <w:r>
        <w:rPr>
          <w:rFonts w:ascii="Arial" w:hAnsi="Arial" w:cs="Arial"/>
          <w:b/>
          <w:snapToGrid w:val="0"/>
          <w:color w:val="000000"/>
          <w:sz w:val="18"/>
          <w:szCs w:val="18"/>
        </w:rPr>
        <w:t>6.2.1.2.8. Wolna przestrzeń w warstwie</w:t>
      </w:r>
    </w:p>
    <w:p w14:paraId="4A29226F"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71ACE99" w14:textId="77777777" w:rsidR="00C32A41" w:rsidRDefault="00B721B3">
      <w:pPr>
        <w:ind w:firstLine="567"/>
        <w:jc w:val="both"/>
        <w:rPr>
          <w:rFonts w:ascii="Arial" w:hAnsi="Arial" w:cs="Arial"/>
          <w:snapToGrid w:val="0"/>
          <w:color w:val="000000"/>
          <w:sz w:val="18"/>
          <w:szCs w:val="18"/>
        </w:rPr>
      </w:pPr>
      <w:r>
        <w:rPr>
          <w:rFonts w:ascii="Arial" w:hAnsi="Arial" w:cs="Arial"/>
          <w:snapToGrid w:val="0"/>
          <w:color w:val="000000"/>
          <w:sz w:val="18"/>
          <w:szCs w:val="18"/>
        </w:rPr>
        <w:t>Wyniki powinny być zgodne z wymaganiami podanymi w Tablicy 6.</w:t>
      </w:r>
    </w:p>
    <w:p w14:paraId="4A7487FE" w14:textId="77777777" w:rsidR="00C32A41" w:rsidRDefault="00C32A41">
      <w:pPr>
        <w:jc w:val="both"/>
        <w:rPr>
          <w:rFonts w:ascii="Arial" w:hAnsi="Arial" w:cs="Arial"/>
          <w:snapToGrid w:val="0"/>
          <w:color w:val="000000"/>
          <w:sz w:val="18"/>
          <w:szCs w:val="18"/>
        </w:rPr>
      </w:pPr>
    </w:p>
    <w:p w14:paraId="7391EEE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6.2.2. Badania kontrolne Inspektora Nadzoru</w:t>
      </w:r>
    </w:p>
    <w:p w14:paraId="408695F1" w14:textId="77777777" w:rsidR="00C32A41" w:rsidRDefault="00B721B3">
      <w:pPr>
        <w:ind w:firstLine="567"/>
        <w:jc w:val="both"/>
        <w:rPr>
          <w:rFonts w:ascii="Arial" w:hAnsi="Arial" w:cs="Arial"/>
          <w:sz w:val="18"/>
          <w:szCs w:val="18"/>
        </w:rPr>
      </w:pPr>
      <w:r>
        <w:rPr>
          <w:rFonts w:ascii="Arial" w:hAnsi="Arial" w:cs="Arial"/>
          <w:sz w:val="18"/>
          <w:szCs w:val="18"/>
        </w:rPr>
        <w:t xml:space="preserve">Badania kontrolne są badaniami Inspektora Nadzoru, których celem jest sprawdzenie, czy jakość materiałów budowlanych (mieszanek mineralno-asfaltowych i ich składników; materiałów mineralnych, lepiszczy i materiałów </w:t>
      </w:r>
      <w:r>
        <w:rPr>
          <w:rFonts w:ascii="Arial" w:hAnsi="Arial" w:cs="Arial"/>
          <w:sz w:val="18"/>
          <w:szCs w:val="18"/>
        </w:rPr>
        <w:lastRenderedPageBreak/>
        <w:t xml:space="preserve">do uszczelnień itp.) oraz gotowej warstwy (wbudowane warstwy asfaltowe, połączenia itp.) spełniają wymagania określone w kontrakcie. </w:t>
      </w:r>
    </w:p>
    <w:p w14:paraId="063314CC" w14:textId="77777777" w:rsidR="00C32A41" w:rsidRDefault="00B721B3">
      <w:pPr>
        <w:ind w:firstLine="567"/>
        <w:jc w:val="both"/>
        <w:rPr>
          <w:rFonts w:ascii="Arial" w:hAnsi="Arial" w:cs="Arial"/>
          <w:sz w:val="18"/>
          <w:szCs w:val="18"/>
        </w:rPr>
      </w:pPr>
      <w:r>
        <w:rPr>
          <w:rFonts w:ascii="Arial" w:hAnsi="Arial" w:cs="Arial"/>
          <w:sz w:val="18"/>
          <w:szCs w:val="18"/>
        </w:rPr>
        <w:t xml:space="preserve">Wyniki tych badań są podstawą odbioru. Pobieraniem próbek i wykonaniem badań na miejscu budowy zajmuje się Inspektor Nadzoru w obecności Wykonawcy. </w:t>
      </w:r>
    </w:p>
    <w:p w14:paraId="70B18C34" w14:textId="77777777" w:rsidR="00C32A41" w:rsidRDefault="00B721B3">
      <w:pPr>
        <w:ind w:firstLine="567"/>
        <w:jc w:val="both"/>
        <w:rPr>
          <w:rFonts w:ascii="Arial" w:hAnsi="Arial" w:cs="Arial"/>
          <w:sz w:val="18"/>
          <w:szCs w:val="18"/>
        </w:rPr>
      </w:pPr>
      <w:r>
        <w:rPr>
          <w:rFonts w:ascii="Arial" w:hAnsi="Arial" w:cs="Arial"/>
          <w:sz w:val="18"/>
          <w:szCs w:val="18"/>
        </w:rPr>
        <w:t xml:space="preserve">Badania odbywają się również wtedy, gdy Wykonawca zostanie w porę powiadomiony o ich terminie, jednak nie będzie przy nich obecny. </w:t>
      </w:r>
    </w:p>
    <w:p w14:paraId="665CACA3" w14:textId="77777777" w:rsidR="00C32A41" w:rsidRDefault="00B721B3">
      <w:pPr>
        <w:ind w:firstLine="567"/>
        <w:jc w:val="both"/>
        <w:rPr>
          <w:rFonts w:ascii="Arial" w:hAnsi="Arial" w:cs="Arial"/>
          <w:sz w:val="18"/>
          <w:szCs w:val="18"/>
        </w:rPr>
      </w:pPr>
      <w:r>
        <w:rPr>
          <w:rFonts w:ascii="Arial" w:hAnsi="Arial" w:cs="Arial"/>
          <w:sz w:val="18"/>
          <w:szCs w:val="18"/>
        </w:rPr>
        <w:t>Rodzaj badań kontrolnych mieszanki mineralno-asfaltowej i wykonanej z niej warstwy podano w Tablicy 11.</w:t>
      </w:r>
    </w:p>
    <w:p w14:paraId="0C57CBE6" w14:textId="77777777" w:rsidR="00C32A41" w:rsidRDefault="00C32A41">
      <w:pPr>
        <w:tabs>
          <w:tab w:val="left" w:pos="1008"/>
          <w:tab w:val="left" w:pos="7459"/>
        </w:tabs>
        <w:rPr>
          <w:rFonts w:ascii="Arial" w:hAnsi="Arial" w:cs="Arial"/>
          <w:b/>
          <w:snapToGrid w:val="0"/>
          <w:color w:val="000000"/>
          <w:sz w:val="18"/>
          <w:szCs w:val="18"/>
        </w:rPr>
      </w:pPr>
    </w:p>
    <w:p w14:paraId="1F35F280"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11. Rodzaj badań kontrolnych.</w:t>
      </w:r>
    </w:p>
    <w:p w14:paraId="73A4D7F6" w14:textId="77777777" w:rsidR="00C32A41" w:rsidRDefault="00C32A41">
      <w:pPr>
        <w:tabs>
          <w:tab w:val="left" w:pos="1008"/>
          <w:tab w:val="left" w:pos="7459"/>
        </w:tabs>
        <w:rPr>
          <w:rFonts w:ascii="Arial" w:hAnsi="Arial" w:cs="Arial"/>
          <w:snapToGrid w:val="0"/>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25"/>
      </w:tblGrid>
      <w:tr w:rsidR="00C32A41" w14:paraId="3E8667AB"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FDF2CE" w14:textId="77777777" w:rsidR="00C32A41" w:rsidRDefault="00B721B3">
            <w:pPr>
              <w:jc w:val="center"/>
              <w:rPr>
                <w:rFonts w:ascii="Arial" w:hAnsi="Arial" w:cs="Arial"/>
                <w:sz w:val="18"/>
                <w:szCs w:val="18"/>
              </w:rPr>
            </w:pPr>
            <w:r>
              <w:rPr>
                <w:rFonts w:ascii="Arial" w:hAnsi="Arial" w:cs="Arial"/>
                <w:sz w:val="18"/>
                <w:szCs w:val="18"/>
              </w:rPr>
              <w:t>Lp.</w:t>
            </w:r>
          </w:p>
        </w:tc>
        <w:tc>
          <w:tcPr>
            <w:tcW w:w="7225" w:type="dxa"/>
            <w:tcBorders>
              <w:top w:val="single" w:sz="4" w:space="0" w:color="auto"/>
              <w:left w:val="single" w:sz="4" w:space="0" w:color="auto"/>
              <w:bottom w:val="single" w:sz="4" w:space="0" w:color="auto"/>
              <w:right w:val="single" w:sz="4" w:space="0" w:color="auto"/>
            </w:tcBorders>
            <w:hideMark/>
          </w:tcPr>
          <w:p w14:paraId="4A5874D2" w14:textId="77777777" w:rsidR="00C32A41" w:rsidRDefault="00B721B3">
            <w:pPr>
              <w:rPr>
                <w:rFonts w:ascii="Arial" w:hAnsi="Arial" w:cs="Arial"/>
                <w:sz w:val="18"/>
                <w:szCs w:val="18"/>
              </w:rPr>
            </w:pPr>
            <w:r>
              <w:rPr>
                <w:rFonts w:ascii="Arial" w:hAnsi="Arial" w:cs="Arial"/>
                <w:sz w:val="18"/>
                <w:szCs w:val="18"/>
              </w:rPr>
              <w:t>Rodzaj badań</w:t>
            </w:r>
          </w:p>
        </w:tc>
      </w:tr>
      <w:tr w:rsidR="00C32A41" w14:paraId="700362A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543DA9F" w14:textId="77777777" w:rsidR="00C32A41" w:rsidRDefault="00B721B3">
            <w:pPr>
              <w:jc w:val="center"/>
              <w:rPr>
                <w:rFonts w:ascii="Arial" w:hAnsi="Arial" w:cs="Arial"/>
                <w:sz w:val="18"/>
                <w:szCs w:val="18"/>
              </w:rPr>
            </w:pPr>
            <w:r>
              <w:rPr>
                <w:rFonts w:ascii="Arial" w:hAnsi="Arial" w:cs="Arial"/>
                <w:sz w:val="18"/>
                <w:szCs w:val="18"/>
              </w:rPr>
              <w:t>1</w:t>
            </w:r>
          </w:p>
          <w:p w14:paraId="5726D4E3" w14:textId="77777777" w:rsidR="00C32A41" w:rsidRDefault="00B721B3">
            <w:pPr>
              <w:jc w:val="center"/>
              <w:rPr>
                <w:rFonts w:ascii="Arial" w:hAnsi="Arial" w:cs="Arial"/>
                <w:sz w:val="18"/>
                <w:szCs w:val="18"/>
              </w:rPr>
            </w:pPr>
            <w:r>
              <w:rPr>
                <w:rFonts w:ascii="Arial" w:hAnsi="Arial" w:cs="Arial"/>
                <w:sz w:val="18"/>
                <w:szCs w:val="18"/>
              </w:rPr>
              <w:t>1.1</w:t>
            </w:r>
          </w:p>
          <w:p w14:paraId="07C1DB1D" w14:textId="77777777" w:rsidR="00C32A41" w:rsidRDefault="00B721B3">
            <w:pPr>
              <w:jc w:val="center"/>
              <w:rPr>
                <w:rFonts w:ascii="Arial" w:hAnsi="Arial" w:cs="Arial"/>
                <w:sz w:val="18"/>
                <w:szCs w:val="18"/>
              </w:rPr>
            </w:pPr>
            <w:r>
              <w:rPr>
                <w:rFonts w:ascii="Arial" w:hAnsi="Arial" w:cs="Arial"/>
                <w:sz w:val="18"/>
                <w:szCs w:val="18"/>
              </w:rPr>
              <w:t>1.2</w:t>
            </w:r>
          </w:p>
          <w:p w14:paraId="32FFA86D" w14:textId="77777777" w:rsidR="00C32A41" w:rsidRDefault="00B721B3">
            <w:pPr>
              <w:jc w:val="center"/>
              <w:rPr>
                <w:rFonts w:ascii="Arial" w:hAnsi="Arial" w:cs="Arial"/>
                <w:sz w:val="18"/>
                <w:szCs w:val="18"/>
              </w:rPr>
            </w:pPr>
            <w:r>
              <w:rPr>
                <w:rFonts w:ascii="Arial" w:hAnsi="Arial" w:cs="Arial"/>
                <w:sz w:val="18"/>
                <w:szCs w:val="18"/>
              </w:rPr>
              <w:t>1.3</w:t>
            </w:r>
          </w:p>
          <w:p w14:paraId="14ED1C9E" w14:textId="77777777" w:rsidR="00C32A41" w:rsidRDefault="00B721B3">
            <w:pPr>
              <w:jc w:val="center"/>
              <w:rPr>
                <w:rFonts w:ascii="Arial" w:hAnsi="Arial" w:cs="Arial"/>
                <w:sz w:val="18"/>
                <w:szCs w:val="18"/>
              </w:rPr>
            </w:pPr>
            <w:r>
              <w:rPr>
                <w:rFonts w:ascii="Arial" w:hAnsi="Arial" w:cs="Arial"/>
                <w:sz w:val="18"/>
                <w:szCs w:val="18"/>
              </w:rPr>
              <w:t>1.4</w:t>
            </w:r>
          </w:p>
          <w:p w14:paraId="676F83A8" w14:textId="77777777" w:rsidR="00C32A41" w:rsidRDefault="00B721B3">
            <w:pPr>
              <w:jc w:val="center"/>
              <w:rPr>
                <w:rFonts w:ascii="Arial" w:hAnsi="Arial" w:cs="Arial"/>
                <w:sz w:val="18"/>
                <w:szCs w:val="18"/>
              </w:rPr>
            </w:pPr>
            <w:r>
              <w:rPr>
                <w:rFonts w:ascii="Arial" w:hAnsi="Arial" w:cs="Arial"/>
                <w:sz w:val="18"/>
                <w:szCs w:val="18"/>
              </w:rPr>
              <w:t>2</w:t>
            </w:r>
          </w:p>
          <w:p w14:paraId="3C1AAEF4" w14:textId="77777777" w:rsidR="00C32A41" w:rsidRDefault="00B721B3">
            <w:pPr>
              <w:jc w:val="center"/>
              <w:rPr>
                <w:rFonts w:ascii="Arial" w:hAnsi="Arial" w:cs="Arial"/>
                <w:sz w:val="18"/>
                <w:szCs w:val="18"/>
              </w:rPr>
            </w:pPr>
            <w:r>
              <w:rPr>
                <w:rFonts w:ascii="Arial" w:hAnsi="Arial" w:cs="Arial"/>
                <w:sz w:val="18"/>
                <w:szCs w:val="18"/>
              </w:rPr>
              <w:t>2.1</w:t>
            </w:r>
          </w:p>
          <w:p w14:paraId="66B6A832" w14:textId="77777777" w:rsidR="00C32A41" w:rsidRDefault="00B721B3">
            <w:pPr>
              <w:jc w:val="center"/>
              <w:rPr>
                <w:rFonts w:ascii="Arial" w:hAnsi="Arial" w:cs="Arial"/>
                <w:sz w:val="18"/>
                <w:szCs w:val="18"/>
              </w:rPr>
            </w:pPr>
            <w:r>
              <w:rPr>
                <w:rFonts w:ascii="Arial" w:hAnsi="Arial" w:cs="Arial"/>
                <w:sz w:val="18"/>
                <w:szCs w:val="18"/>
              </w:rPr>
              <w:t>2.2</w:t>
            </w:r>
          </w:p>
          <w:p w14:paraId="085F730A" w14:textId="77777777" w:rsidR="00C32A41" w:rsidRDefault="00B721B3">
            <w:pPr>
              <w:jc w:val="center"/>
              <w:rPr>
                <w:rFonts w:ascii="Arial" w:hAnsi="Arial" w:cs="Arial"/>
                <w:sz w:val="18"/>
                <w:szCs w:val="18"/>
              </w:rPr>
            </w:pPr>
            <w:r>
              <w:rPr>
                <w:rFonts w:ascii="Arial" w:hAnsi="Arial" w:cs="Arial"/>
                <w:sz w:val="18"/>
                <w:szCs w:val="18"/>
              </w:rPr>
              <w:t>2.3</w:t>
            </w:r>
          </w:p>
          <w:p w14:paraId="50CCF730" w14:textId="77777777" w:rsidR="00C32A41" w:rsidRDefault="00B721B3">
            <w:pPr>
              <w:jc w:val="center"/>
              <w:rPr>
                <w:rFonts w:ascii="Arial" w:hAnsi="Arial" w:cs="Arial"/>
                <w:sz w:val="18"/>
                <w:szCs w:val="18"/>
              </w:rPr>
            </w:pPr>
            <w:r>
              <w:rPr>
                <w:rFonts w:ascii="Arial" w:hAnsi="Arial" w:cs="Arial"/>
                <w:sz w:val="18"/>
                <w:szCs w:val="18"/>
              </w:rPr>
              <w:t>2.4</w:t>
            </w:r>
          </w:p>
          <w:p w14:paraId="6233BAE3" w14:textId="77777777" w:rsidR="00C32A41" w:rsidRDefault="00B721B3">
            <w:pPr>
              <w:jc w:val="center"/>
              <w:rPr>
                <w:rFonts w:ascii="Arial" w:hAnsi="Arial" w:cs="Arial"/>
                <w:sz w:val="18"/>
                <w:szCs w:val="18"/>
              </w:rPr>
            </w:pPr>
            <w:r>
              <w:rPr>
                <w:rFonts w:ascii="Arial" w:hAnsi="Arial" w:cs="Arial"/>
                <w:sz w:val="18"/>
                <w:szCs w:val="18"/>
              </w:rPr>
              <w:t>2.5</w:t>
            </w:r>
          </w:p>
          <w:p w14:paraId="7595771F" w14:textId="77777777" w:rsidR="00C32A41" w:rsidRDefault="00B721B3">
            <w:pPr>
              <w:jc w:val="center"/>
              <w:rPr>
                <w:rFonts w:ascii="Arial" w:hAnsi="Arial" w:cs="Arial"/>
                <w:sz w:val="18"/>
                <w:szCs w:val="18"/>
              </w:rPr>
            </w:pPr>
            <w:r>
              <w:rPr>
                <w:rFonts w:ascii="Arial" w:hAnsi="Arial" w:cs="Arial"/>
                <w:sz w:val="18"/>
                <w:szCs w:val="18"/>
              </w:rPr>
              <w:t>2.6</w:t>
            </w:r>
          </w:p>
        </w:tc>
        <w:tc>
          <w:tcPr>
            <w:tcW w:w="7225" w:type="dxa"/>
            <w:tcBorders>
              <w:top w:val="single" w:sz="4" w:space="0" w:color="auto"/>
              <w:left w:val="single" w:sz="4" w:space="0" w:color="auto"/>
              <w:bottom w:val="single" w:sz="4" w:space="0" w:color="auto"/>
              <w:right w:val="single" w:sz="4" w:space="0" w:color="auto"/>
            </w:tcBorders>
            <w:hideMark/>
          </w:tcPr>
          <w:p w14:paraId="0207C63E" w14:textId="77777777" w:rsidR="00C32A41" w:rsidRDefault="00B721B3">
            <w:pPr>
              <w:rPr>
                <w:rFonts w:ascii="Arial" w:hAnsi="Arial" w:cs="Arial"/>
                <w:sz w:val="18"/>
                <w:szCs w:val="18"/>
                <w:vertAlign w:val="superscript"/>
              </w:rPr>
            </w:pPr>
            <w:r>
              <w:rPr>
                <w:rFonts w:ascii="Arial" w:hAnsi="Arial" w:cs="Arial"/>
                <w:sz w:val="18"/>
                <w:szCs w:val="18"/>
              </w:rPr>
              <w:t xml:space="preserve">Mieszanka mineralno-asfaltowa </w:t>
            </w:r>
            <w:r>
              <w:rPr>
                <w:rFonts w:ascii="Arial" w:hAnsi="Arial" w:cs="Arial"/>
                <w:sz w:val="18"/>
                <w:szCs w:val="18"/>
                <w:vertAlign w:val="superscript"/>
              </w:rPr>
              <w:t>a), b)</w:t>
            </w:r>
          </w:p>
          <w:p w14:paraId="7F4CF43D" w14:textId="77777777" w:rsidR="00C32A41" w:rsidRDefault="00B721B3">
            <w:pPr>
              <w:rPr>
                <w:rFonts w:ascii="Arial" w:hAnsi="Arial" w:cs="Arial"/>
                <w:sz w:val="18"/>
                <w:szCs w:val="18"/>
              </w:rPr>
            </w:pPr>
            <w:r>
              <w:rPr>
                <w:rFonts w:ascii="Arial" w:hAnsi="Arial" w:cs="Arial"/>
                <w:sz w:val="18"/>
                <w:szCs w:val="18"/>
              </w:rPr>
              <w:t>Uziarnienie</w:t>
            </w:r>
          </w:p>
          <w:p w14:paraId="4642BF73" w14:textId="77777777" w:rsidR="00C32A41" w:rsidRDefault="00B721B3">
            <w:pPr>
              <w:rPr>
                <w:rFonts w:ascii="Arial" w:hAnsi="Arial" w:cs="Arial"/>
                <w:sz w:val="18"/>
                <w:szCs w:val="18"/>
              </w:rPr>
            </w:pPr>
            <w:r>
              <w:rPr>
                <w:rFonts w:ascii="Arial" w:hAnsi="Arial" w:cs="Arial"/>
                <w:sz w:val="18"/>
                <w:szCs w:val="18"/>
              </w:rPr>
              <w:t>Zawartość lepiszcza</w:t>
            </w:r>
          </w:p>
          <w:p w14:paraId="09B76FEE" w14:textId="77777777" w:rsidR="00C32A41" w:rsidRDefault="00B721B3">
            <w:pPr>
              <w:rPr>
                <w:rFonts w:ascii="Arial" w:hAnsi="Arial" w:cs="Arial"/>
                <w:sz w:val="18"/>
                <w:szCs w:val="18"/>
              </w:rPr>
            </w:pPr>
            <w:r>
              <w:rPr>
                <w:rFonts w:ascii="Arial" w:hAnsi="Arial" w:cs="Arial"/>
                <w:sz w:val="18"/>
                <w:szCs w:val="18"/>
              </w:rPr>
              <w:t>Temperatura mięknienia lepiszcza odzyskanego</w:t>
            </w:r>
          </w:p>
          <w:p w14:paraId="5D4DA612" w14:textId="77777777" w:rsidR="00C32A41" w:rsidRDefault="00B721B3">
            <w:pPr>
              <w:rPr>
                <w:rFonts w:ascii="Arial" w:hAnsi="Arial" w:cs="Arial"/>
                <w:sz w:val="18"/>
                <w:szCs w:val="18"/>
              </w:rPr>
            </w:pPr>
            <w:r>
              <w:rPr>
                <w:rFonts w:ascii="Arial" w:hAnsi="Arial" w:cs="Arial"/>
                <w:sz w:val="18"/>
                <w:szCs w:val="18"/>
              </w:rPr>
              <w:t>Gęstość i zawartość wolnych przestrzeni próbki</w:t>
            </w:r>
          </w:p>
          <w:p w14:paraId="06E8EB9E" w14:textId="77777777" w:rsidR="00C32A41" w:rsidRDefault="00B721B3">
            <w:pPr>
              <w:rPr>
                <w:rFonts w:ascii="Arial" w:hAnsi="Arial" w:cs="Arial"/>
                <w:sz w:val="18"/>
                <w:szCs w:val="18"/>
              </w:rPr>
            </w:pPr>
            <w:r>
              <w:rPr>
                <w:rFonts w:ascii="Arial" w:hAnsi="Arial" w:cs="Arial"/>
                <w:sz w:val="18"/>
                <w:szCs w:val="18"/>
              </w:rPr>
              <w:t>Warstwa asfaltowa</w:t>
            </w:r>
          </w:p>
          <w:p w14:paraId="30A3AF2B" w14:textId="77777777" w:rsidR="00C32A41" w:rsidRDefault="00B721B3">
            <w:pPr>
              <w:rPr>
                <w:rFonts w:ascii="Arial" w:hAnsi="Arial" w:cs="Arial"/>
                <w:sz w:val="18"/>
                <w:szCs w:val="18"/>
              </w:rPr>
            </w:pPr>
            <w:r>
              <w:rPr>
                <w:rFonts w:ascii="Arial" w:hAnsi="Arial" w:cs="Arial"/>
                <w:sz w:val="18"/>
                <w:szCs w:val="18"/>
              </w:rPr>
              <w:t xml:space="preserve">Wskaźnik zagęszczenia </w:t>
            </w:r>
            <w:r>
              <w:rPr>
                <w:rFonts w:ascii="Arial" w:hAnsi="Arial" w:cs="Arial"/>
                <w:sz w:val="18"/>
                <w:szCs w:val="18"/>
                <w:vertAlign w:val="superscript"/>
              </w:rPr>
              <w:t>a)</w:t>
            </w:r>
          </w:p>
          <w:p w14:paraId="1283C2E4" w14:textId="77777777" w:rsidR="00C32A41" w:rsidRDefault="00B721B3">
            <w:pPr>
              <w:rPr>
                <w:rFonts w:ascii="Arial" w:hAnsi="Arial" w:cs="Arial"/>
                <w:sz w:val="18"/>
                <w:szCs w:val="18"/>
              </w:rPr>
            </w:pPr>
            <w:r>
              <w:rPr>
                <w:rFonts w:ascii="Arial" w:hAnsi="Arial" w:cs="Arial"/>
                <w:sz w:val="18"/>
                <w:szCs w:val="18"/>
              </w:rPr>
              <w:t>Spadki poprzeczne</w:t>
            </w:r>
          </w:p>
          <w:p w14:paraId="63D85621" w14:textId="77777777" w:rsidR="00C32A41" w:rsidRDefault="00B721B3">
            <w:pPr>
              <w:rPr>
                <w:rFonts w:ascii="Arial" w:hAnsi="Arial" w:cs="Arial"/>
                <w:sz w:val="18"/>
                <w:szCs w:val="18"/>
              </w:rPr>
            </w:pPr>
            <w:r>
              <w:rPr>
                <w:rFonts w:ascii="Arial" w:hAnsi="Arial" w:cs="Arial"/>
                <w:sz w:val="18"/>
                <w:szCs w:val="18"/>
              </w:rPr>
              <w:t>Równość</w:t>
            </w:r>
          </w:p>
          <w:p w14:paraId="7D6D1DC1" w14:textId="77777777" w:rsidR="00C32A41" w:rsidRDefault="00B721B3">
            <w:pPr>
              <w:rPr>
                <w:rFonts w:ascii="Arial" w:hAnsi="Arial" w:cs="Arial"/>
                <w:sz w:val="18"/>
                <w:szCs w:val="18"/>
              </w:rPr>
            </w:pPr>
            <w:r>
              <w:rPr>
                <w:rFonts w:ascii="Arial" w:hAnsi="Arial" w:cs="Arial"/>
                <w:sz w:val="18"/>
                <w:szCs w:val="18"/>
              </w:rPr>
              <w:t>Grubość lub ilość materiału</w:t>
            </w:r>
          </w:p>
          <w:p w14:paraId="5E1B7949" w14:textId="77777777" w:rsidR="00C32A41" w:rsidRDefault="00B721B3">
            <w:pPr>
              <w:rPr>
                <w:rFonts w:ascii="Arial" w:hAnsi="Arial" w:cs="Arial"/>
                <w:sz w:val="18"/>
                <w:szCs w:val="18"/>
                <w:vertAlign w:val="superscript"/>
              </w:rPr>
            </w:pPr>
            <w:r>
              <w:rPr>
                <w:rFonts w:ascii="Arial" w:hAnsi="Arial" w:cs="Arial"/>
                <w:sz w:val="18"/>
                <w:szCs w:val="18"/>
              </w:rPr>
              <w:t xml:space="preserve">Zawartość wolnych przestrzeni </w:t>
            </w:r>
            <w:r>
              <w:rPr>
                <w:rFonts w:ascii="Arial" w:hAnsi="Arial" w:cs="Arial"/>
                <w:sz w:val="18"/>
                <w:szCs w:val="18"/>
                <w:vertAlign w:val="superscript"/>
              </w:rPr>
              <w:t>a)</w:t>
            </w:r>
          </w:p>
          <w:p w14:paraId="5F08CF3E" w14:textId="77777777" w:rsidR="00C32A41" w:rsidRDefault="00B721B3">
            <w:pPr>
              <w:rPr>
                <w:rFonts w:ascii="Arial" w:hAnsi="Arial" w:cs="Arial"/>
                <w:sz w:val="18"/>
                <w:szCs w:val="18"/>
              </w:rPr>
            </w:pPr>
            <w:r>
              <w:rPr>
                <w:rFonts w:ascii="Arial" w:hAnsi="Arial" w:cs="Arial"/>
                <w:sz w:val="18"/>
                <w:szCs w:val="18"/>
              </w:rPr>
              <w:t xml:space="preserve">Połączenia międzywarstwowe </w:t>
            </w:r>
            <w:r>
              <w:rPr>
                <w:rFonts w:ascii="Arial" w:hAnsi="Arial" w:cs="Arial"/>
                <w:sz w:val="18"/>
                <w:szCs w:val="18"/>
                <w:vertAlign w:val="superscript"/>
              </w:rPr>
              <w:t>c)</w:t>
            </w:r>
          </w:p>
        </w:tc>
      </w:tr>
      <w:tr w:rsidR="00C32A41" w14:paraId="147A7F3C" w14:textId="7777777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CED68EE" w14:textId="77777777" w:rsidR="00C32A41" w:rsidRDefault="00B721B3">
            <w:pPr>
              <w:ind w:left="317" w:hanging="317"/>
              <w:rPr>
                <w:rFonts w:ascii="Arial" w:hAnsi="Arial" w:cs="Arial"/>
                <w:sz w:val="18"/>
                <w:szCs w:val="18"/>
              </w:rPr>
            </w:pPr>
            <w:r>
              <w:rPr>
                <w:rFonts w:ascii="Arial" w:hAnsi="Arial" w:cs="Arial"/>
                <w:sz w:val="18"/>
                <w:szCs w:val="18"/>
                <w:vertAlign w:val="superscript"/>
              </w:rPr>
              <w:t>a)</w:t>
            </w:r>
            <w:r>
              <w:rPr>
                <w:rFonts w:ascii="Arial" w:hAnsi="Arial" w:cs="Arial"/>
                <w:sz w:val="18"/>
                <w:szCs w:val="18"/>
              </w:rPr>
              <w:t xml:space="preserve"> - ok.10% badań wykonywanych przez Wykonawcę Robót, w razie potrzeby liczba próbek może zostać zwiększona</w:t>
            </w:r>
          </w:p>
          <w:p w14:paraId="4ADF4375" w14:textId="77777777" w:rsidR="00C32A41" w:rsidRDefault="00B721B3">
            <w:pPr>
              <w:rPr>
                <w:rFonts w:ascii="Arial" w:hAnsi="Arial" w:cs="Arial"/>
                <w:sz w:val="18"/>
                <w:szCs w:val="18"/>
              </w:rPr>
            </w:pPr>
            <w:r>
              <w:rPr>
                <w:rFonts w:ascii="Arial" w:hAnsi="Arial" w:cs="Arial"/>
                <w:sz w:val="18"/>
                <w:szCs w:val="18"/>
                <w:vertAlign w:val="superscript"/>
              </w:rPr>
              <w:t>b)</w:t>
            </w:r>
            <w:r>
              <w:rPr>
                <w:rFonts w:ascii="Arial" w:hAnsi="Arial" w:cs="Arial"/>
                <w:sz w:val="18"/>
                <w:szCs w:val="18"/>
              </w:rPr>
              <w:t xml:space="preserve"> - w razie potrzeby specjalne kruszywa i dodatki</w:t>
            </w:r>
          </w:p>
          <w:p w14:paraId="722BC6E7" w14:textId="77777777" w:rsidR="00C32A41" w:rsidRDefault="00B721B3">
            <w:pPr>
              <w:rPr>
                <w:rFonts w:ascii="Arial" w:hAnsi="Arial" w:cs="Arial"/>
                <w:sz w:val="18"/>
                <w:szCs w:val="18"/>
              </w:rPr>
            </w:pPr>
            <w:r>
              <w:rPr>
                <w:rFonts w:ascii="Arial" w:hAnsi="Arial" w:cs="Arial"/>
                <w:sz w:val="18"/>
                <w:szCs w:val="18"/>
                <w:vertAlign w:val="superscript"/>
              </w:rPr>
              <w:t xml:space="preserve">c) </w:t>
            </w:r>
            <w:r>
              <w:rPr>
                <w:rFonts w:ascii="Arial" w:hAnsi="Arial" w:cs="Arial"/>
                <w:sz w:val="18"/>
                <w:szCs w:val="18"/>
              </w:rPr>
              <w:t>– 1 pomiar na 1 km pasa ruchu</w:t>
            </w:r>
          </w:p>
        </w:tc>
      </w:tr>
    </w:tbl>
    <w:p w14:paraId="3A6FE941" w14:textId="77777777" w:rsidR="00C32A41" w:rsidRDefault="00B721B3">
      <w:pPr>
        <w:tabs>
          <w:tab w:val="left" w:pos="1008"/>
        </w:tabs>
        <w:ind w:hanging="1276"/>
        <w:rPr>
          <w:rFonts w:ascii="Arial" w:hAnsi="Arial" w:cs="Arial"/>
          <w:bCs/>
          <w:snapToGrid w:val="0"/>
          <w:color w:val="000000"/>
          <w:sz w:val="18"/>
          <w:szCs w:val="18"/>
        </w:rPr>
      </w:pPr>
      <w:r>
        <w:rPr>
          <w:rFonts w:ascii="Arial" w:hAnsi="Arial" w:cs="Arial"/>
          <w:bCs/>
          <w:snapToGrid w:val="0"/>
          <w:color w:val="000000"/>
          <w:sz w:val="18"/>
          <w:szCs w:val="18"/>
        </w:rPr>
        <w:tab/>
      </w:r>
    </w:p>
    <w:p w14:paraId="72542EE3" w14:textId="77777777" w:rsidR="00C32A41" w:rsidRDefault="00B721B3">
      <w:pPr>
        <w:tabs>
          <w:tab w:val="left" w:pos="1008"/>
        </w:tabs>
        <w:spacing w:after="60"/>
        <w:rPr>
          <w:rFonts w:ascii="Arial" w:hAnsi="Arial" w:cs="Arial"/>
          <w:snapToGrid w:val="0"/>
          <w:color w:val="000000"/>
          <w:sz w:val="18"/>
          <w:szCs w:val="18"/>
        </w:rPr>
      </w:pPr>
      <w:r>
        <w:rPr>
          <w:rFonts w:ascii="Arial" w:hAnsi="Arial" w:cs="Arial"/>
          <w:b/>
          <w:snapToGrid w:val="0"/>
          <w:color w:val="000000"/>
          <w:sz w:val="18"/>
          <w:szCs w:val="18"/>
        </w:rPr>
        <w:t>6.2.3. Badania kontrolne dodatkowe</w:t>
      </w:r>
    </w:p>
    <w:p w14:paraId="2297B73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W wypadku uznania, że któryś z wyników badań kontrolnych nie jest reprezentatywny dla ocenianego odcinka budowy, wykonawca ma prawo żądać przeprowadzenia badań kontrolnych dodatkowych. </w:t>
      </w:r>
    </w:p>
    <w:p w14:paraId="315CC9D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Zleceniodawca ma prawo do przeprowadzenia badań kontrolnych dodatkowych przy rozważnym pominięciu elementów mało istotnych.</w:t>
      </w:r>
    </w:p>
    <w:p w14:paraId="4FB7350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Zleceniodawca i wykonawca decydują wspólnie o miejscach pobierania próbek i wyznaczeniu ewentualnych odcinków częściowych ocenianego odcinka budowy. </w:t>
      </w:r>
    </w:p>
    <w:p w14:paraId="427A7981"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6F941E88"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Do odbioru uwzględniane są wyniki badań kontrolnych i badań kontrolnych dodatkowych do wyznaczonych odcinków częściowych.</w:t>
      </w:r>
    </w:p>
    <w:p w14:paraId="20642AF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kontrolnych dodatkowych zażądanych przez wykonawcę ponosi wykonawca.</w:t>
      </w:r>
    </w:p>
    <w:p w14:paraId="3DD1EED2" w14:textId="77777777" w:rsidR="00C32A41" w:rsidRDefault="00C32A41">
      <w:pPr>
        <w:tabs>
          <w:tab w:val="left" w:pos="1008"/>
          <w:tab w:val="left" w:pos="7459"/>
        </w:tabs>
        <w:jc w:val="both"/>
        <w:rPr>
          <w:rFonts w:ascii="Arial" w:hAnsi="Arial" w:cs="Arial"/>
          <w:snapToGrid w:val="0"/>
          <w:color w:val="000000"/>
          <w:sz w:val="18"/>
          <w:szCs w:val="18"/>
        </w:rPr>
      </w:pPr>
    </w:p>
    <w:p w14:paraId="39C3CFFF" w14:textId="77777777" w:rsidR="00C32A41" w:rsidRDefault="00B721B3">
      <w:pPr>
        <w:tabs>
          <w:tab w:val="left" w:pos="1008"/>
          <w:tab w:val="left" w:pos="7459"/>
        </w:tabs>
        <w:spacing w:after="60"/>
        <w:rPr>
          <w:rFonts w:ascii="Arial" w:hAnsi="Arial" w:cs="Arial"/>
          <w:b/>
          <w:snapToGrid w:val="0"/>
          <w:color w:val="000000"/>
          <w:sz w:val="18"/>
          <w:szCs w:val="18"/>
        </w:rPr>
      </w:pPr>
      <w:r>
        <w:rPr>
          <w:rFonts w:ascii="Arial" w:hAnsi="Arial" w:cs="Arial"/>
          <w:b/>
          <w:snapToGrid w:val="0"/>
          <w:color w:val="000000"/>
          <w:sz w:val="18"/>
          <w:szCs w:val="18"/>
        </w:rPr>
        <w:t>6.2.4. Badania arbitrażowe</w:t>
      </w:r>
    </w:p>
    <w:p w14:paraId="280F3E1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są powtórzeniem badań kontrolnych, co do których istnieją uzasadnione wątpliwości ze strony zleceniodawcy lub wykonawcy (np. na podstawie własnych badań).</w:t>
      </w:r>
    </w:p>
    <w:p w14:paraId="6BCD7A4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Badania arbitrażowe wykonuje na wniosek strony kontraktu niezależne laboratorium, które nie wykonywało badań kontrolnych. Wyniki tych badań zastępują wyniki badan kontrolnych (pierwotnych).</w:t>
      </w:r>
    </w:p>
    <w:p w14:paraId="44D9D189"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Koszty badań arbitrażowych wraz z wszystkimi kosztami ubocznymi ponosi strona, na której niekorzyść przemawia wynik badania.</w:t>
      </w:r>
    </w:p>
    <w:p w14:paraId="73484E75"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Wniosek o przeprowadzenie badań arbitrażowych dotyczących zawartości wolnych przestrzeni lub wskaźnika zagęszczenia należy złożyć w ciągu 2 miesięcy od wpływu reklamacji ze strony zleceniodawcy.</w:t>
      </w:r>
    </w:p>
    <w:p w14:paraId="37F6C89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 </w:t>
      </w:r>
    </w:p>
    <w:p w14:paraId="117A9D94"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6.3.Badania cech geometrycznych warstwy nawierzchni z betonu asfaltowego</w:t>
      </w:r>
    </w:p>
    <w:p w14:paraId="27FC043E" w14:textId="77777777" w:rsidR="00C32A41" w:rsidRDefault="00B721B3">
      <w:pPr>
        <w:tabs>
          <w:tab w:val="left" w:pos="1008"/>
          <w:tab w:val="left" w:pos="7459"/>
        </w:tabs>
        <w:spacing w:after="60"/>
        <w:rPr>
          <w:rFonts w:ascii="Arial" w:hAnsi="Arial" w:cs="Arial"/>
          <w:snapToGrid w:val="0"/>
          <w:color w:val="000000"/>
          <w:sz w:val="18"/>
          <w:szCs w:val="18"/>
        </w:rPr>
      </w:pPr>
      <w:r>
        <w:rPr>
          <w:rFonts w:ascii="Arial" w:hAnsi="Arial" w:cs="Arial"/>
          <w:b/>
          <w:snapToGrid w:val="0"/>
          <w:color w:val="000000"/>
          <w:sz w:val="18"/>
          <w:szCs w:val="18"/>
        </w:rPr>
        <w:t>6.3.1. Częstotliwość oraz zakres badań i pomiarów</w:t>
      </w:r>
    </w:p>
    <w:p w14:paraId="0A3B9153" w14:textId="77777777" w:rsidR="00C32A41" w:rsidRDefault="00B721B3">
      <w:pPr>
        <w:tabs>
          <w:tab w:val="left" w:pos="1008"/>
          <w:tab w:val="left" w:pos="7459"/>
        </w:tabs>
        <w:ind w:firstLine="567"/>
        <w:rPr>
          <w:rFonts w:ascii="Arial" w:hAnsi="Arial" w:cs="Arial"/>
          <w:snapToGrid w:val="0"/>
          <w:color w:val="000000"/>
          <w:sz w:val="18"/>
          <w:szCs w:val="18"/>
        </w:rPr>
      </w:pPr>
      <w:r>
        <w:rPr>
          <w:rFonts w:ascii="Arial" w:hAnsi="Arial" w:cs="Arial"/>
          <w:snapToGrid w:val="0"/>
          <w:color w:val="000000"/>
          <w:sz w:val="18"/>
          <w:szCs w:val="18"/>
        </w:rPr>
        <w:t>Częstość oraz zakres badań i pomiarów podano w Tablicy 12.</w:t>
      </w:r>
    </w:p>
    <w:p w14:paraId="2A42C59E" w14:textId="77777777" w:rsidR="00C32A41" w:rsidRDefault="00C32A41">
      <w:pPr>
        <w:tabs>
          <w:tab w:val="left" w:pos="1008"/>
          <w:tab w:val="left" w:pos="7459"/>
        </w:tabs>
        <w:rPr>
          <w:rFonts w:ascii="Arial" w:hAnsi="Arial" w:cs="Arial"/>
          <w:snapToGrid w:val="0"/>
          <w:color w:val="000000"/>
          <w:sz w:val="18"/>
          <w:szCs w:val="18"/>
        </w:rPr>
      </w:pPr>
    </w:p>
    <w:p w14:paraId="5EA3F52B"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Tablica 12. Częstość oraz zakres badań i pomiarów warstw wykonanych z AC 16 W.</w:t>
      </w:r>
    </w:p>
    <w:p w14:paraId="53016A5B" w14:textId="77777777" w:rsidR="00C32A41" w:rsidRDefault="00C32A41">
      <w:pPr>
        <w:tabs>
          <w:tab w:val="left" w:pos="1008"/>
          <w:tab w:val="left" w:pos="7459"/>
        </w:tabs>
        <w:rPr>
          <w:rFonts w:ascii="Arial" w:hAnsi="Arial" w:cs="Arial"/>
          <w:snapToGrid w:val="0"/>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041"/>
        <w:gridCol w:w="4490"/>
      </w:tblGrid>
      <w:tr w:rsidR="00C32A41" w14:paraId="1896E144" w14:textId="77777777">
        <w:tc>
          <w:tcPr>
            <w:tcW w:w="534" w:type="dxa"/>
          </w:tcPr>
          <w:p w14:paraId="785A08E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Lp.</w:t>
            </w:r>
          </w:p>
        </w:tc>
        <w:tc>
          <w:tcPr>
            <w:tcW w:w="4110" w:type="dxa"/>
          </w:tcPr>
          <w:p w14:paraId="3115BDE6"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Badana cecha</w:t>
            </w:r>
          </w:p>
        </w:tc>
        <w:tc>
          <w:tcPr>
            <w:tcW w:w="4568" w:type="dxa"/>
          </w:tcPr>
          <w:p w14:paraId="2A22EAC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Minimalna częstość wykonywania badań i pomiarów</w:t>
            </w:r>
          </w:p>
        </w:tc>
      </w:tr>
      <w:tr w:rsidR="00C32A41" w14:paraId="122F940C" w14:textId="77777777">
        <w:tc>
          <w:tcPr>
            <w:tcW w:w="534" w:type="dxa"/>
          </w:tcPr>
          <w:p w14:paraId="6F4CADE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1. </w:t>
            </w:r>
          </w:p>
        </w:tc>
        <w:tc>
          <w:tcPr>
            <w:tcW w:w="4110" w:type="dxa"/>
          </w:tcPr>
          <w:p w14:paraId="6BB8DD65"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Szerokość warstwy </w:t>
            </w:r>
          </w:p>
        </w:tc>
        <w:tc>
          <w:tcPr>
            <w:tcW w:w="4568" w:type="dxa"/>
          </w:tcPr>
          <w:p w14:paraId="2E12616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10 razy na 1 km każdej jezdni</w:t>
            </w:r>
          </w:p>
        </w:tc>
      </w:tr>
      <w:tr w:rsidR="00C32A41" w14:paraId="75004479" w14:textId="77777777">
        <w:tc>
          <w:tcPr>
            <w:tcW w:w="534" w:type="dxa"/>
          </w:tcPr>
          <w:p w14:paraId="464F4B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2.</w:t>
            </w:r>
          </w:p>
        </w:tc>
        <w:tc>
          <w:tcPr>
            <w:tcW w:w="4110" w:type="dxa"/>
          </w:tcPr>
          <w:p w14:paraId="6B1DCC9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podłużna</w:t>
            </w:r>
          </w:p>
        </w:tc>
        <w:tc>
          <w:tcPr>
            <w:tcW w:w="4568" w:type="dxa"/>
          </w:tcPr>
          <w:p w14:paraId="713E103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Zgodnie z opisem w pkt. 6.3.1.3.niniejszej STWiORB</w:t>
            </w:r>
          </w:p>
        </w:tc>
      </w:tr>
      <w:tr w:rsidR="00C32A41" w14:paraId="167FC8D4" w14:textId="77777777">
        <w:tc>
          <w:tcPr>
            <w:tcW w:w="534" w:type="dxa"/>
          </w:tcPr>
          <w:p w14:paraId="264FCEF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3.</w:t>
            </w:r>
          </w:p>
        </w:tc>
        <w:tc>
          <w:tcPr>
            <w:tcW w:w="4110" w:type="dxa"/>
          </w:tcPr>
          <w:p w14:paraId="5EC3C10E"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Równość poprzeczna</w:t>
            </w:r>
          </w:p>
        </w:tc>
        <w:tc>
          <w:tcPr>
            <w:tcW w:w="4568" w:type="dxa"/>
          </w:tcPr>
          <w:p w14:paraId="16D2226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5 m</w:t>
            </w:r>
          </w:p>
        </w:tc>
      </w:tr>
      <w:tr w:rsidR="00C32A41" w14:paraId="1C474D4F" w14:textId="77777777">
        <w:tc>
          <w:tcPr>
            <w:tcW w:w="534" w:type="dxa"/>
          </w:tcPr>
          <w:p w14:paraId="3F4831F3"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4.</w:t>
            </w:r>
          </w:p>
        </w:tc>
        <w:tc>
          <w:tcPr>
            <w:tcW w:w="4110" w:type="dxa"/>
          </w:tcPr>
          <w:p w14:paraId="4FB11550" w14:textId="77777777" w:rsidR="00C32A41" w:rsidRDefault="00B721B3">
            <w:pPr>
              <w:tabs>
                <w:tab w:val="left" w:pos="1008"/>
                <w:tab w:val="left" w:pos="7459"/>
              </w:tabs>
              <w:rPr>
                <w:rFonts w:ascii="Arial" w:hAnsi="Arial" w:cs="Arial"/>
                <w:snapToGrid w:val="0"/>
                <w:color w:val="000000"/>
                <w:sz w:val="18"/>
                <w:szCs w:val="18"/>
                <w:vertAlign w:val="superscript"/>
              </w:rPr>
            </w:pPr>
            <w:r>
              <w:rPr>
                <w:rFonts w:ascii="Arial" w:hAnsi="Arial" w:cs="Arial"/>
                <w:snapToGrid w:val="0"/>
                <w:color w:val="000000"/>
                <w:sz w:val="18"/>
                <w:szCs w:val="18"/>
              </w:rPr>
              <w:t>Spadki poprzeczne</w:t>
            </w:r>
            <w:r>
              <w:rPr>
                <w:rFonts w:ascii="Arial" w:hAnsi="Arial" w:cs="Arial"/>
                <w:snapToGrid w:val="0"/>
                <w:color w:val="000000"/>
                <w:sz w:val="18"/>
                <w:szCs w:val="18"/>
                <w:vertAlign w:val="superscript"/>
              </w:rPr>
              <w:t>*)</w:t>
            </w:r>
          </w:p>
        </w:tc>
        <w:tc>
          <w:tcPr>
            <w:tcW w:w="4568" w:type="dxa"/>
          </w:tcPr>
          <w:p w14:paraId="578B765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Nie rzadziej niż co 20 m</w:t>
            </w:r>
          </w:p>
        </w:tc>
      </w:tr>
      <w:tr w:rsidR="00C32A41" w14:paraId="0B28FCB3" w14:textId="77777777">
        <w:tc>
          <w:tcPr>
            <w:tcW w:w="534" w:type="dxa"/>
          </w:tcPr>
          <w:p w14:paraId="766D8C8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5. </w:t>
            </w:r>
          </w:p>
        </w:tc>
        <w:tc>
          <w:tcPr>
            <w:tcW w:w="4110" w:type="dxa"/>
          </w:tcPr>
          <w:p w14:paraId="63B576DA"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Rzędne wysokościowe ( oś podłużna i krawędzie)</w:t>
            </w:r>
          </w:p>
        </w:tc>
        <w:tc>
          <w:tcPr>
            <w:tcW w:w="4568" w:type="dxa"/>
          </w:tcPr>
          <w:p w14:paraId="439D789D"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20 m na prostych i ca 10 m na łukach, w osi i na krawędziach każdej jezdni</w:t>
            </w:r>
          </w:p>
        </w:tc>
      </w:tr>
      <w:tr w:rsidR="00C32A41" w14:paraId="16F48565" w14:textId="77777777">
        <w:tc>
          <w:tcPr>
            <w:tcW w:w="534" w:type="dxa"/>
          </w:tcPr>
          <w:p w14:paraId="3E731474"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lastRenderedPageBreak/>
              <w:t>6.</w:t>
            </w:r>
          </w:p>
        </w:tc>
        <w:tc>
          <w:tcPr>
            <w:tcW w:w="4110" w:type="dxa"/>
          </w:tcPr>
          <w:p w14:paraId="5FE46D2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Ukształtowanie osi w planie</w:t>
            </w:r>
            <w:r>
              <w:rPr>
                <w:rFonts w:ascii="Arial" w:hAnsi="Arial" w:cs="Arial"/>
                <w:snapToGrid w:val="0"/>
                <w:color w:val="000000"/>
                <w:sz w:val="18"/>
                <w:szCs w:val="18"/>
                <w:vertAlign w:val="superscript"/>
              </w:rPr>
              <w:t>*)</w:t>
            </w:r>
          </w:p>
        </w:tc>
        <w:tc>
          <w:tcPr>
            <w:tcW w:w="4568" w:type="dxa"/>
          </w:tcPr>
          <w:p w14:paraId="593D1251"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Co 100 m</w:t>
            </w:r>
          </w:p>
        </w:tc>
      </w:tr>
      <w:tr w:rsidR="00C32A41" w14:paraId="052E10FE" w14:textId="77777777">
        <w:tc>
          <w:tcPr>
            <w:tcW w:w="534" w:type="dxa"/>
          </w:tcPr>
          <w:p w14:paraId="3DAE309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7.</w:t>
            </w:r>
          </w:p>
        </w:tc>
        <w:tc>
          <w:tcPr>
            <w:tcW w:w="4110" w:type="dxa"/>
          </w:tcPr>
          <w:p w14:paraId="5E8B9DFF"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Złącza podłużne i poprzeczne </w:t>
            </w:r>
          </w:p>
        </w:tc>
        <w:tc>
          <w:tcPr>
            <w:tcW w:w="4568" w:type="dxa"/>
          </w:tcPr>
          <w:p w14:paraId="2D392AD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Każde złącze ( ocena wizualna)</w:t>
            </w:r>
          </w:p>
        </w:tc>
      </w:tr>
      <w:tr w:rsidR="00C32A41" w14:paraId="1186C53F" w14:textId="77777777">
        <w:tc>
          <w:tcPr>
            <w:tcW w:w="534" w:type="dxa"/>
          </w:tcPr>
          <w:p w14:paraId="534E964C"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8.</w:t>
            </w:r>
          </w:p>
        </w:tc>
        <w:tc>
          <w:tcPr>
            <w:tcW w:w="4110" w:type="dxa"/>
          </w:tcPr>
          <w:p w14:paraId="08E8BA07"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 xml:space="preserve">Wygląd warstwy </w:t>
            </w:r>
          </w:p>
        </w:tc>
        <w:tc>
          <w:tcPr>
            <w:tcW w:w="4568" w:type="dxa"/>
          </w:tcPr>
          <w:p w14:paraId="63355EE8"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rPr>
              <w:t>Ocena wizualna</w:t>
            </w:r>
          </w:p>
        </w:tc>
      </w:tr>
    </w:tbl>
    <w:p w14:paraId="7A49C8FE" w14:textId="77777777" w:rsidR="00C32A41" w:rsidRDefault="00C32A41">
      <w:pPr>
        <w:tabs>
          <w:tab w:val="left" w:pos="1008"/>
          <w:tab w:val="left" w:pos="7459"/>
        </w:tabs>
        <w:rPr>
          <w:rFonts w:ascii="Arial" w:hAnsi="Arial" w:cs="Arial"/>
          <w:snapToGrid w:val="0"/>
          <w:color w:val="000000"/>
          <w:sz w:val="18"/>
          <w:szCs w:val="18"/>
          <w:vertAlign w:val="superscript"/>
        </w:rPr>
      </w:pPr>
    </w:p>
    <w:p w14:paraId="7BB0A092" w14:textId="77777777" w:rsidR="00C32A41" w:rsidRDefault="00B721B3">
      <w:pPr>
        <w:tabs>
          <w:tab w:val="left" w:pos="1008"/>
          <w:tab w:val="left" w:pos="7459"/>
        </w:tabs>
        <w:rPr>
          <w:rFonts w:ascii="Arial" w:hAnsi="Arial" w:cs="Arial"/>
          <w:snapToGrid w:val="0"/>
          <w:color w:val="000000"/>
          <w:sz w:val="18"/>
          <w:szCs w:val="18"/>
        </w:rPr>
      </w:pPr>
      <w:r>
        <w:rPr>
          <w:rFonts w:ascii="Arial" w:hAnsi="Arial" w:cs="Arial"/>
          <w:snapToGrid w:val="0"/>
          <w:color w:val="000000"/>
          <w:sz w:val="18"/>
          <w:szCs w:val="18"/>
          <w:vertAlign w:val="superscript"/>
        </w:rPr>
        <w:t xml:space="preserve">*) </w:t>
      </w:r>
      <w:r>
        <w:rPr>
          <w:rFonts w:ascii="Arial" w:hAnsi="Arial" w:cs="Arial"/>
          <w:snapToGrid w:val="0"/>
          <w:color w:val="000000"/>
          <w:sz w:val="18"/>
          <w:szCs w:val="18"/>
        </w:rPr>
        <w:t>Dodatkowe pomiary spadków poprzecznych i ukształtowania osi w planie należy wykonać w punktach głównych łuków poziomych.</w:t>
      </w:r>
    </w:p>
    <w:p w14:paraId="420CFB3F" w14:textId="77777777" w:rsidR="00C32A41" w:rsidRDefault="00C32A41">
      <w:pPr>
        <w:tabs>
          <w:tab w:val="left" w:pos="1008"/>
          <w:tab w:val="left" w:pos="7459"/>
        </w:tabs>
        <w:rPr>
          <w:rFonts w:ascii="Arial" w:hAnsi="Arial" w:cs="Arial"/>
          <w:b/>
          <w:snapToGrid w:val="0"/>
          <w:color w:val="000000"/>
          <w:sz w:val="18"/>
          <w:szCs w:val="18"/>
        </w:rPr>
      </w:pPr>
    </w:p>
    <w:p w14:paraId="070F839F" w14:textId="77777777" w:rsidR="00C32A41" w:rsidRDefault="00B721B3">
      <w:pPr>
        <w:tabs>
          <w:tab w:val="left" w:pos="1008"/>
          <w:tab w:val="left" w:pos="7459"/>
        </w:tabs>
        <w:spacing w:after="60"/>
        <w:jc w:val="both"/>
        <w:rPr>
          <w:rFonts w:ascii="Arial" w:hAnsi="Arial" w:cs="Arial"/>
          <w:b/>
          <w:snapToGrid w:val="0"/>
          <w:color w:val="000000"/>
          <w:sz w:val="18"/>
          <w:szCs w:val="18"/>
        </w:rPr>
      </w:pPr>
      <w:r>
        <w:rPr>
          <w:rFonts w:ascii="Arial" w:hAnsi="Arial" w:cs="Arial"/>
          <w:b/>
          <w:snapToGrid w:val="0"/>
          <w:color w:val="000000"/>
          <w:sz w:val="18"/>
          <w:szCs w:val="18"/>
        </w:rPr>
        <w:t xml:space="preserve">6.3.1.1. </w:t>
      </w:r>
      <w:r>
        <w:rPr>
          <w:rFonts w:ascii="Arial" w:hAnsi="Arial" w:cs="Arial"/>
          <w:b/>
          <w:bCs/>
          <w:snapToGrid w:val="0"/>
          <w:color w:val="000000"/>
          <w:sz w:val="18"/>
          <w:szCs w:val="18"/>
        </w:rPr>
        <w:t>Spadki poprzeczne</w:t>
      </w:r>
    </w:p>
    <w:p w14:paraId="7939152B"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Spadki poprzeczne nawierzchni należy sprawdzać nie rzadziej niż co 20 m  i dodatkowo w punktach głównych łuków poziomych. </w:t>
      </w:r>
    </w:p>
    <w:p w14:paraId="1DEE0B7C"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Spadki poprzeczne warstwy na prostych i łukach powinny być zgodne z dokumentacją projektową z tolerancją ±0,5%.</w:t>
      </w:r>
    </w:p>
    <w:p w14:paraId="503B4713" w14:textId="77777777" w:rsidR="00C32A41" w:rsidRDefault="00C32A41">
      <w:pPr>
        <w:tabs>
          <w:tab w:val="left" w:pos="1008"/>
          <w:tab w:val="left" w:pos="7459"/>
        </w:tabs>
        <w:rPr>
          <w:rFonts w:ascii="Arial" w:hAnsi="Arial" w:cs="Arial"/>
          <w:snapToGrid w:val="0"/>
          <w:color w:val="000000"/>
          <w:sz w:val="18"/>
          <w:szCs w:val="18"/>
        </w:rPr>
      </w:pPr>
    </w:p>
    <w:p w14:paraId="0D227222" w14:textId="77777777" w:rsidR="00C32A41" w:rsidRDefault="00B721B3">
      <w:pPr>
        <w:tabs>
          <w:tab w:val="left" w:pos="1008"/>
          <w:tab w:val="left" w:pos="7459"/>
        </w:tabs>
        <w:spacing w:after="60"/>
        <w:jc w:val="both"/>
        <w:rPr>
          <w:rFonts w:ascii="Arial" w:hAnsi="Arial" w:cs="Arial"/>
          <w:snapToGrid w:val="0"/>
          <w:color w:val="000000"/>
          <w:sz w:val="18"/>
          <w:szCs w:val="18"/>
        </w:rPr>
      </w:pPr>
      <w:r>
        <w:rPr>
          <w:rFonts w:ascii="Arial" w:hAnsi="Arial" w:cs="Arial"/>
          <w:b/>
          <w:snapToGrid w:val="0"/>
          <w:color w:val="000000"/>
          <w:sz w:val="18"/>
          <w:szCs w:val="18"/>
        </w:rPr>
        <w:t>6.3.1.2. Szerokość warstwy</w:t>
      </w:r>
    </w:p>
    <w:p w14:paraId="7D8127BD"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 xml:space="preserve">Sprawdzenie szerokości warstwy polega na zmierzeniu w poziomie, taśmą mierniczą, odległości przeciwległych bocznych krawędzi. </w:t>
      </w:r>
    </w:p>
    <w:p w14:paraId="5EDE7000" w14:textId="77777777" w:rsidR="00C32A41" w:rsidRDefault="00B721B3">
      <w:pPr>
        <w:tabs>
          <w:tab w:val="left" w:pos="1008"/>
          <w:tab w:val="left" w:pos="7459"/>
        </w:tabs>
        <w:ind w:firstLine="567"/>
        <w:jc w:val="both"/>
        <w:rPr>
          <w:rFonts w:ascii="Arial" w:hAnsi="Arial" w:cs="Arial"/>
          <w:snapToGrid w:val="0"/>
          <w:color w:val="000000"/>
          <w:sz w:val="18"/>
          <w:szCs w:val="18"/>
        </w:rPr>
      </w:pPr>
      <w:r>
        <w:rPr>
          <w:rFonts w:ascii="Arial" w:hAnsi="Arial" w:cs="Arial"/>
          <w:snapToGrid w:val="0"/>
          <w:color w:val="000000"/>
          <w:sz w:val="18"/>
          <w:szCs w:val="18"/>
        </w:rPr>
        <w:t>Szerokość wykonanej warstwy nieograniczonej krawężnikiem nie może różnić się od szerokości projektowanej o więcej niż +5cm.</w:t>
      </w:r>
    </w:p>
    <w:p w14:paraId="167B9109" w14:textId="77777777" w:rsidR="00C32A41" w:rsidRDefault="00C32A41">
      <w:pPr>
        <w:tabs>
          <w:tab w:val="left" w:pos="1008"/>
          <w:tab w:val="left" w:pos="7459"/>
        </w:tabs>
        <w:jc w:val="both"/>
        <w:rPr>
          <w:rFonts w:ascii="Arial" w:hAnsi="Arial" w:cs="Arial"/>
          <w:snapToGrid w:val="0"/>
          <w:color w:val="000000"/>
          <w:sz w:val="18"/>
          <w:szCs w:val="18"/>
        </w:rPr>
      </w:pPr>
    </w:p>
    <w:p w14:paraId="1D77C25D" w14:textId="77777777" w:rsidR="00C32A41" w:rsidRDefault="00B721B3">
      <w:pPr>
        <w:spacing w:after="60"/>
        <w:jc w:val="both"/>
        <w:rPr>
          <w:rFonts w:ascii="Arial" w:hAnsi="Arial" w:cs="Arial"/>
          <w:b/>
          <w:sz w:val="18"/>
          <w:szCs w:val="18"/>
        </w:rPr>
      </w:pPr>
      <w:r>
        <w:rPr>
          <w:rFonts w:ascii="Arial" w:hAnsi="Arial" w:cs="Arial"/>
          <w:b/>
          <w:sz w:val="18"/>
          <w:szCs w:val="18"/>
        </w:rPr>
        <w:t>6.3.1.3. Równość podłużna i poprzeczna warstwy</w:t>
      </w:r>
    </w:p>
    <w:p w14:paraId="16683730" w14:textId="77777777" w:rsidR="00C32A41" w:rsidRDefault="00B721B3">
      <w:pPr>
        <w:tabs>
          <w:tab w:val="left" w:pos="426"/>
        </w:tabs>
        <w:suppressAutoHyphens/>
        <w:ind w:firstLine="567"/>
        <w:jc w:val="both"/>
        <w:rPr>
          <w:rFonts w:ascii="Arial" w:hAnsi="Arial" w:cs="Arial"/>
          <w:sz w:val="18"/>
          <w:szCs w:val="18"/>
        </w:rPr>
      </w:pPr>
      <w:r>
        <w:rPr>
          <w:rFonts w:ascii="Arial" w:hAnsi="Arial" w:cs="Arial"/>
          <w:sz w:val="18"/>
          <w:szCs w:val="18"/>
        </w:rPr>
        <w:t>Pomiary równości podłużnej i poprzecznej należy wykonywać w zależności od wielkości robót, obciążenia ruchem oraz klasy drogi zgodnie z Rozporządzeniem Ministra Transportu i Gospodarki Morskiej  z dnia 2 marca 1999 r. w sprawie warunków technicznych, jakim powinny odpowiadać drogi publiczne i ich usytuowanie (Dz. U. z 2016 r., Nr 0, poz. 124).</w:t>
      </w:r>
    </w:p>
    <w:p w14:paraId="3719F844" w14:textId="77777777" w:rsidR="00C32A41" w:rsidRDefault="00C32A41">
      <w:pPr>
        <w:tabs>
          <w:tab w:val="left" w:pos="426"/>
        </w:tabs>
        <w:suppressAutoHyphens/>
        <w:ind w:firstLine="567"/>
        <w:jc w:val="both"/>
        <w:rPr>
          <w:rFonts w:ascii="Arial" w:hAnsi="Arial" w:cs="Arial"/>
          <w:sz w:val="18"/>
          <w:szCs w:val="18"/>
        </w:rPr>
      </w:pPr>
    </w:p>
    <w:p w14:paraId="7A561BA5" w14:textId="77777777" w:rsidR="00C32A41" w:rsidRDefault="00C32A41">
      <w:pPr>
        <w:tabs>
          <w:tab w:val="left" w:pos="426"/>
        </w:tabs>
        <w:suppressAutoHyphens/>
        <w:ind w:firstLine="567"/>
        <w:jc w:val="both"/>
        <w:rPr>
          <w:rFonts w:ascii="Arial" w:hAnsi="Arial" w:cs="Arial"/>
          <w:sz w:val="18"/>
          <w:szCs w:val="18"/>
        </w:rPr>
      </w:pPr>
    </w:p>
    <w:p w14:paraId="546F8C11"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7. OBMIAR ROBÓT</w:t>
      </w:r>
    </w:p>
    <w:p w14:paraId="565D3D3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7.1. Ogólne zasady obmiaru robót</w:t>
      </w:r>
    </w:p>
    <w:p w14:paraId="52026D67"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obmiaru robót podano w STWiORB D-M-00.00.00. „Wymagania ogólne" pkt. 7.</w:t>
      </w:r>
    </w:p>
    <w:p w14:paraId="422BDD03" w14:textId="77777777" w:rsidR="00C32A41" w:rsidRDefault="00B721B3">
      <w:pPr>
        <w:tabs>
          <w:tab w:val="right" w:pos="8809"/>
        </w:tabs>
        <w:ind w:firstLine="567"/>
        <w:rPr>
          <w:rFonts w:ascii="Arial" w:hAnsi="Arial" w:cs="Arial"/>
          <w:sz w:val="18"/>
          <w:szCs w:val="18"/>
        </w:rPr>
      </w:pPr>
      <w:r>
        <w:rPr>
          <w:rFonts w:ascii="Arial" w:hAnsi="Arial" w:cs="Arial"/>
          <w:sz w:val="18"/>
          <w:szCs w:val="18"/>
        </w:rPr>
        <w:t>Jednostką obmiarową jest 1m</w:t>
      </w:r>
      <w:r>
        <w:rPr>
          <w:rFonts w:ascii="Arial" w:hAnsi="Arial" w:cs="Arial"/>
          <w:sz w:val="18"/>
          <w:szCs w:val="18"/>
          <w:vertAlign w:val="superscript"/>
        </w:rPr>
        <w:t>2</w:t>
      </w:r>
      <w:r>
        <w:rPr>
          <w:rFonts w:ascii="Arial" w:hAnsi="Arial" w:cs="Arial"/>
          <w:sz w:val="18"/>
          <w:szCs w:val="18"/>
        </w:rPr>
        <w:t xml:space="preserve"> [metr kwadratowy] wykonanej warstwy wiążącej z mieszanki AC 16 W, o grubości 4,0 cm.</w:t>
      </w:r>
    </w:p>
    <w:p w14:paraId="27CA98B4" w14:textId="77777777" w:rsidR="00C32A41" w:rsidRDefault="00C32A41">
      <w:pPr>
        <w:tabs>
          <w:tab w:val="left" w:pos="0"/>
          <w:tab w:val="right" w:pos="8809"/>
        </w:tabs>
        <w:jc w:val="both"/>
        <w:rPr>
          <w:rFonts w:ascii="Arial" w:hAnsi="Arial" w:cs="Arial"/>
          <w:b/>
          <w:sz w:val="18"/>
          <w:szCs w:val="18"/>
        </w:rPr>
      </w:pPr>
    </w:p>
    <w:p w14:paraId="2250F85A" w14:textId="77777777" w:rsidR="00C32A41" w:rsidRDefault="00B721B3">
      <w:pPr>
        <w:tabs>
          <w:tab w:val="left" w:pos="0"/>
          <w:tab w:val="right" w:pos="8809"/>
        </w:tabs>
        <w:jc w:val="both"/>
        <w:rPr>
          <w:rFonts w:ascii="Arial" w:hAnsi="Arial" w:cs="Arial"/>
          <w:b/>
          <w:sz w:val="18"/>
          <w:szCs w:val="18"/>
        </w:rPr>
      </w:pPr>
      <w:r>
        <w:rPr>
          <w:rFonts w:ascii="Arial" w:hAnsi="Arial" w:cs="Arial"/>
          <w:b/>
          <w:sz w:val="18"/>
          <w:szCs w:val="18"/>
        </w:rPr>
        <w:tab/>
      </w:r>
    </w:p>
    <w:p w14:paraId="175448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8. ODBIÓR ROBÓT</w:t>
      </w:r>
    </w:p>
    <w:p w14:paraId="1775B0C1"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8.1. Ogólne zasady odbioru robót</w:t>
      </w:r>
    </w:p>
    <w:p w14:paraId="190A98A8"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zasady odbioru robót podano w STWiORB D-M.00.00.00.Wymagania ogólne pkt.8</w:t>
      </w:r>
    </w:p>
    <w:p w14:paraId="468F35E1"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Roboty uznaje się za wykonane zgodnie z dokumentacją projektową, niniejszą STWiORB i wymaganiami Inspektora Nadzoru, jeżeli wszystkie pomiary i badania z zachowaniem dopuszczalnych tolerancji dały wyniki pozytywne.</w:t>
      </w:r>
    </w:p>
    <w:p w14:paraId="7F12D233" w14:textId="77777777" w:rsidR="00C32A41" w:rsidRDefault="00C32A41">
      <w:pPr>
        <w:tabs>
          <w:tab w:val="left" w:pos="0"/>
          <w:tab w:val="right" w:pos="8809"/>
        </w:tabs>
        <w:jc w:val="both"/>
        <w:rPr>
          <w:rFonts w:ascii="Arial" w:hAnsi="Arial" w:cs="Arial"/>
          <w:sz w:val="18"/>
          <w:szCs w:val="18"/>
        </w:rPr>
      </w:pPr>
    </w:p>
    <w:p w14:paraId="1016EA16" w14:textId="77777777" w:rsidR="00C32A41" w:rsidRDefault="00C32A41">
      <w:pPr>
        <w:tabs>
          <w:tab w:val="left" w:pos="0"/>
          <w:tab w:val="right" w:pos="8809"/>
        </w:tabs>
        <w:jc w:val="both"/>
        <w:rPr>
          <w:rFonts w:ascii="Arial" w:hAnsi="Arial" w:cs="Arial"/>
          <w:sz w:val="18"/>
          <w:szCs w:val="18"/>
        </w:rPr>
      </w:pPr>
    </w:p>
    <w:p w14:paraId="5A1F15B3" w14:textId="77777777" w:rsidR="00C32A41" w:rsidRDefault="00B721B3">
      <w:pPr>
        <w:tabs>
          <w:tab w:val="left" w:pos="0"/>
          <w:tab w:val="right" w:pos="8809"/>
        </w:tabs>
        <w:spacing w:after="120"/>
        <w:jc w:val="both"/>
        <w:rPr>
          <w:rFonts w:ascii="Arial" w:hAnsi="Arial" w:cs="Arial"/>
          <w:b/>
          <w:sz w:val="18"/>
          <w:szCs w:val="18"/>
        </w:rPr>
      </w:pPr>
      <w:r>
        <w:rPr>
          <w:rFonts w:ascii="Arial" w:hAnsi="Arial" w:cs="Arial"/>
          <w:b/>
          <w:sz w:val="18"/>
          <w:szCs w:val="18"/>
        </w:rPr>
        <w:t>9. PODSTAWA PŁATNOŚCI</w:t>
      </w:r>
    </w:p>
    <w:p w14:paraId="75904758"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9.1. Ogólne ustalenia dotyczące podstaw płatności</w:t>
      </w:r>
    </w:p>
    <w:p w14:paraId="3B0DFA92"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Ogólne ustalenia dotyczące podstaw płatności podano w STWiORB D-M.00.00.00. „Wymagania ogólne"    pkt. 9.</w:t>
      </w:r>
    </w:p>
    <w:p w14:paraId="225299C5" w14:textId="77777777" w:rsidR="00C32A41" w:rsidRDefault="00B721B3">
      <w:pPr>
        <w:tabs>
          <w:tab w:val="left" w:pos="0"/>
          <w:tab w:val="right" w:pos="8809"/>
        </w:tabs>
        <w:ind w:firstLine="567"/>
        <w:jc w:val="both"/>
        <w:rPr>
          <w:rFonts w:ascii="Arial" w:hAnsi="Arial" w:cs="Arial"/>
          <w:sz w:val="18"/>
          <w:szCs w:val="18"/>
        </w:rPr>
      </w:pPr>
      <w:r>
        <w:rPr>
          <w:rFonts w:ascii="Arial" w:hAnsi="Arial" w:cs="Arial"/>
          <w:sz w:val="18"/>
          <w:szCs w:val="18"/>
        </w:rPr>
        <w:t>Zakres płatności za wykonane warstwy należy przyjmować zgodnie z obmiarem i oceną jakości wykonanych robót.</w:t>
      </w:r>
    </w:p>
    <w:p w14:paraId="55E1CF2A" w14:textId="77777777" w:rsidR="00C32A41" w:rsidRDefault="00C32A41">
      <w:pPr>
        <w:tabs>
          <w:tab w:val="left" w:pos="0"/>
          <w:tab w:val="right" w:pos="8809"/>
        </w:tabs>
        <w:jc w:val="both"/>
        <w:rPr>
          <w:rFonts w:ascii="Arial" w:hAnsi="Arial" w:cs="Arial"/>
          <w:sz w:val="18"/>
          <w:szCs w:val="18"/>
        </w:rPr>
      </w:pPr>
    </w:p>
    <w:p w14:paraId="52D56BBA" w14:textId="77777777" w:rsidR="00C32A41" w:rsidRDefault="00B721B3">
      <w:pPr>
        <w:tabs>
          <w:tab w:val="left" w:pos="0"/>
          <w:tab w:val="right" w:pos="8809"/>
        </w:tabs>
        <w:spacing w:after="60"/>
        <w:jc w:val="both"/>
        <w:rPr>
          <w:rFonts w:ascii="Arial" w:hAnsi="Arial" w:cs="Arial"/>
          <w:b/>
          <w:sz w:val="18"/>
          <w:szCs w:val="18"/>
        </w:rPr>
      </w:pPr>
      <w:r>
        <w:rPr>
          <w:rFonts w:ascii="Arial" w:hAnsi="Arial" w:cs="Arial"/>
          <w:b/>
          <w:sz w:val="18"/>
          <w:szCs w:val="18"/>
        </w:rPr>
        <w:t>9.2. Cena jednostki obmiarowej</w:t>
      </w:r>
    </w:p>
    <w:p w14:paraId="6092A6DE"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Cena jednostki obmiarowej tj.:</w:t>
      </w:r>
    </w:p>
    <w:p w14:paraId="75188CDB"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- 1 metra kwadratowego [m</w:t>
      </w:r>
      <w:r>
        <w:rPr>
          <w:rFonts w:ascii="Arial" w:hAnsi="Arial" w:cs="Arial"/>
          <w:sz w:val="18"/>
          <w:szCs w:val="18"/>
          <w:vertAlign w:val="superscript"/>
        </w:rPr>
        <w:t>2</w:t>
      </w:r>
      <w:r>
        <w:rPr>
          <w:rFonts w:ascii="Arial" w:hAnsi="Arial" w:cs="Arial"/>
          <w:sz w:val="18"/>
          <w:szCs w:val="18"/>
        </w:rPr>
        <w:t>] wykonanej warstwy wiążącej o grubości 4,0 cm,</w:t>
      </w:r>
    </w:p>
    <w:p w14:paraId="49E09137"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obejmuje :</w:t>
      </w:r>
    </w:p>
    <w:p w14:paraId="472FB4E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prace pomiarowe i roboty przygotowawcze,</w:t>
      </w:r>
    </w:p>
    <w:p w14:paraId="0C3D196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oznakowanie robót,</w:t>
      </w:r>
    </w:p>
    <w:p w14:paraId="1F036EF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zakup, dostarczenie składników, wyprodukowanie mieszanki mineralno-bitumicznej na podstawie zatwierdzo-nych receptur  i  jej transport na miejsce wbudowania,</w:t>
      </w:r>
    </w:p>
    <w:p w14:paraId="61C3B8B7"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zapewnienia niezbędnych czynników produkcji,</w:t>
      </w:r>
    </w:p>
    <w:p w14:paraId="2C9221EB"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opracowanie recepty laboratoryjnej wraz z przeprowadzeniem wymaganych badań,</w:t>
      </w:r>
    </w:p>
    <w:p w14:paraId="7D2BFB40"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odcinka próbnego wraz z wykonaniem niezbędnych pomiarów i sprawdzeń,</w:t>
      </w:r>
    </w:p>
    <w:p w14:paraId="1B52C00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oczyszczenie i skropienie podłoża,</w:t>
      </w:r>
    </w:p>
    <w:p w14:paraId="509CED02"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posmarowanie lepiszczem krawędzi urządzeń obcych,</w:t>
      </w:r>
    </w:p>
    <w:p w14:paraId="2F3D4F3A"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dostarczenie, ustawienie, rozebranie i odwiezienie prowadnic oraz innych materiałów</w:t>
      </w:r>
    </w:p>
    <w:p w14:paraId="5E153451" w14:textId="77777777" w:rsidR="00C32A41" w:rsidRDefault="00B721B3">
      <w:pPr>
        <w:pStyle w:val="Akapitzlist"/>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lastRenderedPageBreak/>
        <w:t>i urządzeń pomocniczych,</w:t>
      </w:r>
    </w:p>
    <w:p w14:paraId="6E84F5DE"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rozłożenie i zagęszczenie warstwy nawierzchni,</w:t>
      </w:r>
    </w:p>
    <w:p w14:paraId="7DD93BCF"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wykonanie połączeń podłużnych i poprzecznych,</w:t>
      </w:r>
    </w:p>
    <w:p w14:paraId="11D85F46"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obcięcie krawędzi i posmarowanie asfaltem,</w:t>
      </w:r>
    </w:p>
    <w:p w14:paraId="34CBC9A3"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przeprowadzenie pomiarów i badań laboratoryjnych wymaganych w specyfikacji technicznej,</w:t>
      </w:r>
    </w:p>
    <w:p w14:paraId="09033774" w14:textId="77777777" w:rsidR="00C32A41" w:rsidRDefault="00B721B3">
      <w:pPr>
        <w:numPr>
          <w:ilvl w:val="0"/>
          <w:numId w:val="34"/>
        </w:numPr>
        <w:tabs>
          <w:tab w:val="left" w:pos="0"/>
          <w:tab w:val="right" w:pos="8809"/>
        </w:tabs>
        <w:ind w:left="284" w:hanging="284"/>
        <w:jc w:val="both"/>
        <w:rPr>
          <w:rFonts w:ascii="Arial" w:hAnsi="Arial" w:cs="Arial"/>
          <w:sz w:val="18"/>
          <w:szCs w:val="18"/>
        </w:rPr>
      </w:pPr>
      <w:r>
        <w:rPr>
          <w:rFonts w:ascii="Arial" w:hAnsi="Arial" w:cs="Arial"/>
          <w:sz w:val="18"/>
          <w:szCs w:val="18"/>
        </w:rPr>
        <w:t>koszt utrzymania czystości na przylegających drogach.</w:t>
      </w:r>
    </w:p>
    <w:p w14:paraId="5B730A52" w14:textId="77777777" w:rsidR="00C32A41" w:rsidRDefault="00B721B3">
      <w:pPr>
        <w:tabs>
          <w:tab w:val="left" w:pos="0"/>
          <w:tab w:val="right" w:pos="8809"/>
        </w:tabs>
        <w:jc w:val="both"/>
        <w:rPr>
          <w:rFonts w:ascii="Arial" w:hAnsi="Arial" w:cs="Arial"/>
          <w:sz w:val="18"/>
          <w:szCs w:val="18"/>
        </w:rPr>
      </w:pPr>
      <w:r>
        <w:rPr>
          <w:rFonts w:ascii="Arial" w:hAnsi="Arial" w:cs="Arial"/>
          <w:sz w:val="18"/>
          <w:szCs w:val="18"/>
        </w:rPr>
        <w:t xml:space="preserve"> </w:t>
      </w:r>
    </w:p>
    <w:p w14:paraId="675FD9EE" w14:textId="77777777" w:rsidR="00C32A41" w:rsidRDefault="00C32A41">
      <w:pPr>
        <w:tabs>
          <w:tab w:val="left" w:pos="0"/>
          <w:tab w:val="right" w:pos="8809"/>
        </w:tabs>
        <w:jc w:val="both"/>
        <w:rPr>
          <w:rFonts w:ascii="Arial" w:hAnsi="Arial" w:cs="Arial"/>
          <w:sz w:val="18"/>
          <w:szCs w:val="18"/>
        </w:rPr>
      </w:pPr>
    </w:p>
    <w:p w14:paraId="6338801C" w14:textId="77777777" w:rsidR="00C32A41" w:rsidRDefault="00B721B3">
      <w:pPr>
        <w:tabs>
          <w:tab w:val="left" w:pos="1008"/>
          <w:tab w:val="left" w:pos="7459"/>
        </w:tabs>
        <w:spacing w:after="120"/>
        <w:rPr>
          <w:rFonts w:ascii="Arial" w:hAnsi="Arial" w:cs="Arial"/>
          <w:b/>
          <w:snapToGrid w:val="0"/>
          <w:color w:val="000000"/>
          <w:sz w:val="18"/>
          <w:szCs w:val="18"/>
        </w:rPr>
      </w:pPr>
      <w:r>
        <w:rPr>
          <w:rFonts w:ascii="Arial" w:hAnsi="Arial" w:cs="Arial"/>
          <w:b/>
          <w:snapToGrid w:val="0"/>
          <w:color w:val="000000"/>
          <w:sz w:val="18"/>
          <w:szCs w:val="18"/>
        </w:rPr>
        <w:t>10. PRZEPISY ZWIĄZANE</w:t>
      </w:r>
    </w:p>
    <w:p w14:paraId="0997ADA8" w14:textId="77777777" w:rsidR="00C32A41" w:rsidRDefault="00B721B3">
      <w:pPr>
        <w:tabs>
          <w:tab w:val="left" w:pos="1008"/>
          <w:tab w:val="left" w:pos="7459"/>
        </w:tabs>
        <w:spacing w:after="60"/>
        <w:rPr>
          <w:rFonts w:ascii="Arial" w:hAnsi="Arial" w:cs="Arial"/>
          <w:bCs/>
          <w:snapToGrid w:val="0"/>
          <w:color w:val="000000"/>
          <w:sz w:val="18"/>
          <w:szCs w:val="18"/>
        </w:rPr>
      </w:pPr>
      <w:r>
        <w:rPr>
          <w:rFonts w:ascii="Arial" w:hAnsi="Arial" w:cs="Arial"/>
          <w:b/>
          <w:bCs/>
          <w:snapToGrid w:val="0"/>
          <w:color w:val="000000"/>
          <w:sz w:val="18"/>
          <w:szCs w:val="18"/>
        </w:rPr>
        <w:t>10.1.Normy</w:t>
      </w:r>
    </w:p>
    <w:p w14:paraId="1AEDC6B2" w14:textId="77777777" w:rsidR="00C32A41" w:rsidRDefault="00B721B3">
      <w:pPr>
        <w:ind w:left="1701" w:hanging="1701"/>
        <w:rPr>
          <w:rFonts w:ascii="Arial" w:hAnsi="Arial" w:cs="Arial"/>
          <w:sz w:val="18"/>
          <w:szCs w:val="18"/>
        </w:rPr>
      </w:pPr>
      <w:r>
        <w:rPr>
          <w:rFonts w:ascii="Arial" w:hAnsi="Arial" w:cs="Arial"/>
          <w:sz w:val="18"/>
          <w:szCs w:val="18"/>
        </w:rPr>
        <w:t>PN-EN 932-3</w:t>
      </w:r>
      <w:r>
        <w:rPr>
          <w:rFonts w:ascii="Arial" w:hAnsi="Arial" w:cs="Arial"/>
          <w:sz w:val="18"/>
          <w:szCs w:val="18"/>
        </w:rPr>
        <w:tab/>
        <w:t>Badania podstawowych właściwości kruszyw – Procedura i terminologia uproszczonego opisu petrograficznego</w:t>
      </w:r>
    </w:p>
    <w:p w14:paraId="2EEC6B23" w14:textId="77777777" w:rsidR="00C32A41" w:rsidRDefault="00B721B3">
      <w:pPr>
        <w:ind w:left="1701" w:hanging="1701"/>
        <w:rPr>
          <w:rFonts w:ascii="Arial" w:hAnsi="Arial" w:cs="Arial"/>
          <w:sz w:val="18"/>
          <w:szCs w:val="18"/>
        </w:rPr>
      </w:pPr>
      <w:r>
        <w:rPr>
          <w:rFonts w:ascii="Arial" w:hAnsi="Arial" w:cs="Arial"/>
          <w:sz w:val="18"/>
          <w:szCs w:val="18"/>
        </w:rPr>
        <w:t>PN-EN 932-5</w:t>
      </w:r>
      <w:r>
        <w:rPr>
          <w:rFonts w:ascii="Arial" w:hAnsi="Arial" w:cs="Arial"/>
          <w:sz w:val="18"/>
          <w:szCs w:val="18"/>
        </w:rPr>
        <w:tab/>
        <w:t>Badania podstawowych właściwości kruszyw – Część 5: Wyposażenie podstawowe i wzorcowanie</w:t>
      </w:r>
    </w:p>
    <w:p w14:paraId="3ED6FAB4" w14:textId="77777777" w:rsidR="00C32A41" w:rsidRDefault="00B721B3">
      <w:pPr>
        <w:ind w:left="1701" w:hanging="1701"/>
        <w:rPr>
          <w:rFonts w:ascii="Arial" w:hAnsi="Arial" w:cs="Arial"/>
          <w:sz w:val="18"/>
          <w:szCs w:val="18"/>
        </w:rPr>
      </w:pPr>
      <w:r>
        <w:rPr>
          <w:rFonts w:ascii="Arial" w:hAnsi="Arial" w:cs="Arial"/>
          <w:sz w:val="18"/>
          <w:szCs w:val="18"/>
        </w:rPr>
        <w:t>PN-EN 933-1</w:t>
      </w:r>
      <w:r>
        <w:rPr>
          <w:rFonts w:ascii="Arial" w:hAnsi="Arial" w:cs="Arial"/>
          <w:sz w:val="18"/>
          <w:szCs w:val="18"/>
        </w:rPr>
        <w:tab/>
        <w:t>Badania geometrycznych właściwości kruszyw – Oznaczanie składu ziarnowego. Metoda przesiewania</w:t>
      </w:r>
    </w:p>
    <w:p w14:paraId="585C8ED3" w14:textId="77777777" w:rsidR="00C32A41" w:rsidRDefault="00B721B3">
      <w:pPr>
        <w:ind w:left="1701" w:hanging="1701"/>
        <w:rPr>
          <w:rFonts w:ascii="Arial" w:hAnsi="Arial" w:cs="Arial"/>
          <w:sz w:val="18"/>
          <w:szCs w:val="18"/>
        </w:rPr>
      </w:pPr>
      <w:r>
        <w:rPr>
          <w:rFonts w:ascii="Arial" w:hAnsi="Arial" w:cs="Arial"/>
          <w:sz w:val="18"/>
          <w:szCs w:val="18"/>
        </w:rPr>
        <w:t>PN-EN 933-3</w:t>
      </w:r>
      <w:r>
        <w:rPr>
          <w:rFonts w:ascii="Arial" w:hAnsi="Arial" w:cs="Arial"/>
          <w:sz w:val="18"/>
          <w:szCs w:val="18"/>
        </w:rPr>
        <w:tab/>
        <w:t>Badania geometrycznych właściwości kruszyw – Oznaczanie kształtu ziaren za pomocą wskaźnika płaskości</w:t>
      </w:r>
    </w:p>
    <w:p w14:paraId="71E020C5" w14:textId="77777777" w:rsidR="00C32A41" w:rsidRDefault="00B721B3">
      <w:pPr>
        <w:ind w:left="1701" w:hanging="1701"/>
        <w:rPr>
          <w:rFonts w:ascii="Arial" w:hAnsi="Arial" w:cs="Arial"/>
          <w:sz w:val="18"/>
          <w:szCs w:val="18"/>
        </w:rPr>
      </w:pPr>
      <w:r>
        <w:rPr>
          <w:rFonts w:ascii="Arial" w:hAnsi="Arial" w:cs="Arial"/>
          <w:sz w:val="18"/>
          <w:szCs w:val="18"/>
        </w:rPr>
        <w:t>PN-EN 933-4</w:t>
      </w:r>
      <w:r>
        <w:rPr>
          <w:rFonts w:ascii="Arial" w:hAnsi="Arial" w:cs="Arial"/>
          <w:sz w:val="18"/>
          <w:szCs w:val="18"/>
        </w:rPr>
        <w:tab/>
        <w:t>Badania geometrycznych właściwości kruszyw – Część 4: Oznaczanie kształtu ziaren – Wskaźnik kształtu</w:t>
      </w:r>
    </w:p>
    <w:p w14:paraId="3E5629E4" w14:textId="77777777" w:rsidR="00C32A41" w:rsidRDefault="00B721B3">
      <w:pPr>
        <w:ind w:left="1701" w:hanging="1701"/>
        <w:rPr>
          <w:rFonts w:ascii="Arial" w:hAnsi="Arial" w:cs="Arial"/>
          <w:sz w:val="18"/>
          <w:szCs w:val="18"/>
        </w:rPr>
      </w:pPr>
      <w:r>
        <w:rPr>
          <w:rFonts w:ascii="Arial" w:hAnsi="Arial" w:cs="Arial"/>
          <w:sz w:val="18"/>
          <w:szCs w:val="18"/>
        </w:rPr>
        <w:t>PN-EN 933-5</w:t>
      </w:r>
      <w:r>
        <w:rPr>
          <w:rFonts w:ascii="Arial" w:hAnsi="Arial" w:cs="Arial"/>
          <w:sz w:val="18"/>
          <w:szCs w:val="18"/>
        </w:rPr>
        <w:tab/>
        <w:t>Badania geometrycznych właściwości kruszyw – Oznaczanie procentowej zawartości ziaren o powierzchniach powstałych w wyniku przekruszenia lub łamania kruszyw grubych</w:t>
      </w:r>
    </w:p>
    <w:p w14:paraId="0A91E147" w14:textId="77777777" w:rsidR="00C32A41" w:rsidRDefault="00B721B3">
      <w:pPr>
        <w:ind w:left="1701" w:hanging="1701"/>
        <w:rPr>
          <w:rFonts w:ascii="Arial" w:hAnsi="Arial" w:cs="Arial"/>
          <w:sz w:val="18"/>
          <w:szCs w:val="18"/>
        </w:rPr>
      </w:pPr>
      <w:r>
        <w:rPr>
          <w:rFonts w:ascii="Arial" w:hAnsi="Arial" w:cs="Arial"/>
          <w:sz w:val="18"/>
          <w:szCs w:val="18"/>
        </w:rPr>
        <w:t>PN-EN 933-6</w:t>
      </w:r>
      <w:r>
        <w:rPr>
          <w:rFonts w:ascii="Arial" w:hAnsi="Arial" w:cs="Arial"/>
          <w:sz w:val="18"/>
          <w:szCs w:val="18"/>
        </w:rPr>
        <w:tab/>
        <w:t>Badania geometrycznych właściwości kruszyw – Część 6: Ocena właściwości powierzchni – Wskaźnik przepływu kruszywa</w:t>
      </w:r>
    </w:p>
    <w:p w14:paraId="197C2548" w14:textId="77777777" w:rsidR="00C32A41" w:rsidRDefault="00B721B3">
      <w:pPr>
        <w:ind w:left="1701" w:hanging="1701"/>
        <w:rPr>
          <w:rFonts w:ascii="Arial" w:hAnsi="Arial" w:cs="Arial"/>
          <w:sz w:val="18"/>
          <w:szCs w:val="18"/>
        </w:rPr>
      </w:pPr>
      <w:r>
        <w:rPr>
          <w:rFonts w:ascii="Arial" w:hAnsi="Arial" w:cs="Arial"/>
          <w:sz w:val="18"/>
          <w:szCs w:val="18"/>
        </w:rPr>
        <w:t>PN-EN 933-9</w:t>
      </w:r>
      <w:r>
        <w:rPr>
          <w:rFonts w:ascii="Arial" w:hAnsi="Arial" w:cs="Arial"/>
          <w:sz w:val="18"/>
          <w:szCs w:val="18"/>
        </w:rPr>
        <w:tab/>
        <w:t>Badania geometrycznych właściwości kruszyw – Ocena zawartości drobnych cząstek – Badania błękitem metylenowym</w:t>
      </w:r>
    </w:p>
    <w:p w14:paraId="4AAEEF62" w14:textId="77777777" w:rsidR="00C32A41" w:rsidRDefault="00B721B3">
      <w:pPr>
        <w:ind w:left="1701" w:hanging="1701"/>
        <w:rPr>
          <w:rFonts w:ascii="Arial" w:hAnsi="Arial" w:cs="Arial"/>
          <w:sz w:val="18"/>
          <w:szCs w:val="18"/>
        </w:rPr>
      </w:pPr>
      <w:r>
        <w:rPr>
          <w:rFonts w:ascii="Arial" w:hAnsi="Arial" w:cs="Arial"/>
          <w:sz w:val="18"/>
          <w:szCs w:val="18"/>
        </w:rPr>
        <w:t>PN-EN 933-10</w:t>
      </w:r>
      <w:r>
        <w:rPr>
          <w:rFonts w:ascii="Arial" w:hAnsi="Arial" w:cs="Arial"/>
          <w:sz w:val="18"/>
          <w:szCs w:val="18"/>
        </w:rPr>
        <w:tab/>
        <w:t>Badania geometrycznych właściwości kruszyw – Część 10: Ocena zawartości drobnych cząstek – Uziarnienie wypełniaczy (przesiewanie w strumieniu powietrza)</w:t>
      </w:r>
    </w:p>
    <w:p w14:paraId="34224D3B" w14:textId="77777777" w:rsidR="00C32A41" w:rsidRDefault="00B721B3">
      <w:pPr>
        <w:ind w:left="1701" w:hanging="1701"/>
        <w:rPr>
          <w:rFonts w:ascii="Arial" w:hAnsi="Arial" w:cs="Arial"/>
          <w:sz w:val="18"/>
          <w:szCs w:val="18"/>
        </w:rPr>
      </w:pPr>
      <w:r>
        <w:rPr>
          <w:rFonts w:ascii="Arial" w:hAnsi="Arial" w:cs="Arial"/>
          <w:sz w:val="18"/>
          <w:szCs w:val="18"/>
        </w:rPr>
        <w:t>PN-EN 1097-2</w:t>
      </w:r>
      <w:r>
        <w:rPr>
          <w:rFonts w:ascii="Arial" w:hAnsi="Arial" w:cs="Arial"/>
          <w:sz w:val="18"/>
          <w:szCs w:val="18"/>
        </w:rPr>
        <w:tab/>
        <w:t>Badania mechanicznych i fizycznych właściwości kruszyw – Metody oznaczania odporności na rozdrabianie</w:t>
      </w:r>
    </w:p>
    <w:p w14:paraId="22F9A6FA" w14:textId="77777777" w:rsidR="00C32A41" w:rsidRDefault="00B721B3">
      <w:pPr>
        <w:ind w:left="1701" w:hanging="1701"/>
        <w:rPr>
          <w:rFonts w:ascii="Arial" w:hAnsi="Arial" w:cs="Arial"/>
          <w:sz w:val="18"/>
          <w:szCs w:val="18"/>
        </w:rPr>
      </w:pPr>
      <w:r>
        <w:rPr>
          <w:rFonts w:ascii="Arial" w:hAnsi="Arial" w:cs="Arial"/>
          <w:sz w:val="18"/>
          <w:szCs w:val="18"/>
        </w:rPr>
        <w:t>PN-EN 1097-3</w:t>
      </w:r>
      <w:r>
        <w:rPr>
          <w:rFonts w:ascii="Arial" w:hAnsi="Arial" w:cs="Arial"/>
          <w:sz w:val="18"/>
          <w:szCs w:val="18"/>
        </w:rPr>
        <w:tab/>
        <w:t>Badania mechanicznych i fizycznych właściwości kruszyw – Oznaczanie gęstości nasypowej i jamistości</w:t>
      </w:r>
    </w:p>
    <w:p w14:paraId="5E8796CA" w14:textId="77777777" w:rsidR="00C32A41" w:rsidRDefault="00B721B3">
      <w:pPr>
        <w:ind w:left="1701" w:hanging="1701"/>
        <w:rPr>
          <w:rFonts w:ascii="Arial" w:hAnsi="Arial" w:cs="Arial"/>
          <w:sz w:val="18"/>
          <w:szCs w:val="18"/>
        </w:rPr>
      </w:pPr>
      <w:r>
        <w:rPr>
          <w:rFonts w:ascii="Arial" w:hAnsi="Arial" w:cs="Arial"/>
          <w:sz w:val="18"/>
          <w:szCs w:val="18"/>
        </w:rPr>
        <w:t>PN-EN 1097-4</w:t>
      </w:r>
      <w:r>
        <w:rPr>
          <w:rFonts w:ascii="Arial" w:hAnsi="Arial" w:cs="Arial"/>
          <w:sz w:val="18"/>
          <w:szCs w:val="18"/>
        </w:rPr>
        <w:tab/>
        <w:t>Badania mechanicznych i fizycznych właściwości kruszyw – Część 4: Oznaczanie pustych przestrzeni suchego, zagęszczonego wypełniacza</w:t>
      </w:r>
    </w:p>
    <w:p w14:paraId="12B0B8A6" w14:textId="77777777" w:rsidR="00C32A41" w:rsidRDefault="00B721B3">
      <w:pPr>
        <w:ind w:left="1701" w:hanging="1701"/>
        <w:rPr>
          <w:rFonts w:ascii="Arial" w:hAnsi="Arial" w:cs="Arial"/>
          <w:sz w:val="18"/>
          <w:szCs w:val="18"/>
        </w:rPr>
      </w:pPr>
      <w:r>
        <w:rPr>
          <w:rFonts w:ascii="Arial" w:hAnsi="Arial" w:cs="Arial"/>
          <w:sz w:val="18"/>
          <w:szCs w:val="18"/>
        </w:rPr>
        <w:t>PN-EN 1097-5</w:t>
      </w:r>
      <w:r>
        <w:rPr>
          <w:rFonts w:ascii="Arial" w:hAnsi="Arial" w:cs="Arial"/>
          <w:sz w:val="18"/>
          <w:szCs w:val="18"/>
        </w:rPr>
        <w:tab/>
        <w:t>Badania mechanicznych i fizycznych właściwości kruszyw – Część 5: Oznaczanie zawartości wody przez suszenie w suszarce z wentylacją</w:t>
      </w:r>
    </w:p>
    <w:p w14:paraId="20A8760C" w14:textId="77777777" w:rsidR="00C32A41" w:rsidRDefault="00B721B3">
      <w:pPr>
        <w:ind w:left="1701" w:hanging="1701"/>
        <w:rPr>
          <w:rFonts w:ascii="Arial" w:hAnsi="Arial" w:cs="Arial"/>
          <w:sz w:val="18"/>
          <w:szCs w:val="18"/>
        </w:rPr>
      </w:pPr>
      <w:r>
        <w:rPr>
          <w:rFonts w:ascii="Arial" w:hAnsi="Arial" w:cs="Arial"/>
          <w:sz w:val="18"/>
          <w:szCs w:val="18"/>
        </w:rPr>
        <w:t>PN-EN 1097-6</w:t>
      </w:r>
      <w:r>
        <w:rPr>
          <w:rFonts w:ascii="Arial" w:hAnsi="Arial" w:cs="Arial"/>
          <w:sz w:val="18"/>
          <w:szCs w:val="18"/>
        </w:rPr>
        <w:tab/>
        <w:t>Badania mechanicznych i fizycznych właściwości kruszyw – Część 6: Oznaczanie gęstości ziaren i nasiąkliwości</w:t>
      </w:r>
    </w:p>
    <w:p w14:paraId="79C5779B" w14:textId="77777777" w:rsidR="00C32A41" w:rsidRDefault="00B721B3">
      <w:pPr>
        <w:ind w:left="1701" w:hanging="1701"/>
        <w:rPr>
          <w:rFonts w:ascii="Arial" w:hAnsi="Arial" w:cs="Arial"/>
          <w:sz w:val="18"/>
          <w:szCs w:val="18"/>
        </w:rPr>
      </w:pPr>
      <w:r>
        <w:rPr>
          <w:rFonts w:ascii="Arial" w:hAnsi="Arial" w:cs="Arial"/>
          <w:sz w:val="18"/>
          <w:szCs w:val="18"/>
        </w:rPr>
        <w:t>PN-EN 1097-7</w:t>
      </w:r>
      <w:r>
        <w:rPr>
          <w:rFonts w:ascii="Arial" w:hAnsi="Arial" w:cs="Arial"/>
          <w:sz w:val="18"/>
          <w:szCs w:val="18"/>
        </w:rPr>
        <w:tab/>
        <w:t>Badania mechanicznych i fizycznych właściwości kruszyw – Część 7: Oznaczanie gęstości wypełniacza. Metoda piknometryczna</w:t>
      </w:r>
    </w:p>
    <w:p w14:paraId="278A7FEE" w14:textId="77777777" w:rsidR="00C32A41" w:rsidRDefault="00B721B3">
      <w:pPr>
        <w:ind w:left="1701" w:hanging="1701"/>
        <w:rPr>
          <w:rFonts w:ascii="Arial" w:hAnsi="Arial" w:cs="Arial"/>
          <w:sz w:val="18"/>
          <w:szCs w:val="18"/>
        </w:rPr>
      </w:pPr>
      <w:r>
        <w:rPr>
          <w:rFonts w:ascii="Arial" w:hAnsi="Arial" w:cs="Arial"/>
          <w:sz w:val="18"/>
          <w:szCs w:val="18"/>
        </w:rPr>
        <w:t>PN-EN 1097-8</w:t>
      </w:r>
      <w:r>
        <w:rPr>
          <w:rFonts w:ascii="Arial" w:hAnsi="Arial" w:cs="Arial"/>
          <w:sz w:val="18"/>
          <w:szCs w:val="18"/>
        </w:rPr>
        <w:tab/>
        <w:t>Badania mechanicznych i fizycznych właściwości kruszyw – Część 8: Oznaczanie polerowalności kamienia</w:t>
      </w:r>
    </w:p>
    <w:p w14:paraId="075A8270" w14:textId="77777777" w:rsidR="00C32A41" w:rsidRDefault="00B721B3">
      <w:pPr>
        <w:ind w:left="1701" w:hanging="1701"/>
        <w:rPr>
          <w:rFonts w:ascii="Arial" w:hAnsi="Arial" w:cs="Arial"/>
          <w:sz w:val="18"/>
          <w:szCs w:val="18"/>
        </w:rPr>
      </w:pPr>
      <w:r>
        <w:rPr>
          <w:rFonts w:ascii="Arial" w:hAnsi="Arial" w:cs="Arial"/>
          <w:sz w:val="18"/>
          <w:szCs w:val="18"/>
        </w:rPr>
        <w:t>PN-EN 1367-1</w:t>
      </w:r>
      <w:r>
        <w:rPr>
          <w:rFonts w:ascii="Arial" w:hAnsi="Arial" w:cs="Arial"/>
          <w:sz w:val="18"/>
          <w:szCs w:val="18"/>
        </w:rPr>
        <w:tab/>
        <w:t>Badania właściwości cieplnych i odporności kruszyw na działanie czynników atmosferycznych – Część 1: Oznaczanie mrozoodporności</w:t>
      </w:r>
    </w:p>
    <w:p w14:paraId="364AC646" w14:textId="77777777" w:rsidR="00C32A41" w:rsidRDefault="00B721B3">
      <w:pPr>
        <w:ind w:left="1701" w:hanging="1701"/>
        <w:rPr>
          <w:rFonts w:ascii="Arial" w:hAnsi="Arial" w:cs="Arial"/>
          <w:sz w:val="18"/>
          <w:szCs w:val="18"/>
        </w:rPr>
      </w:pPr>
      <w:r>
        <w:rPr>
          <w:rFonts w:ascii="Arial" w:hAnsi="Arial" w:cs="Arial"/>
          <w:sz w:val="18"/>
          <w:szCs w:val="18"/>
        </w:rPr>
        <w:t>PN-EN 1367-3</w:t>
      </w:r>
      <w:r>
        <w:rPr>
          <w:rFonts w:ascii="Arial" w:hAnsi="Arial" w:cs="Arial"/>
          <w:sz w:val="18"/>
          <w:szCs w:val="18"/>
        </w:rPr>
        <w:tab/>
        <w:t>Badania właściwości cieplnych i odporności kruszyw na działanie czynników atmosferycznych – Część 3: Badanie bazaltowej zgorzeli słonecznej metodą gotowania</w:t>
      </w:r>
    </w:p>
    <w:p w14:paraId="6DA53F1F" w14:textId="77777777" w:rsidR="00C32A41" w:rsidRDefault="00B721B3">
      <w:pPr>
        <w:ind w:left="1701" w:hanging="1701"/>
        <w:rPr>
          <w:rFonts w:ascii="Arial" w:hAnsi="Arial" w:cs="Arial"/>
          <w:sz w:val="18"/>
          <w:szCs w:val="18"/>
        </w:rPr>
      </w:pPr>
      <w:r>
        <w:rPr>
          <w:rFonts w:ascii="Arial" w:hAnsi="Arial" w:cs="Arial"/>
          <w:sz w:val="18"/>
          <w:szCs w:val="18"/>
        </w:rPr>
        <w:t>PN-EN 1367-5</w:t>
      </w:r>
      <w:r>
        <w:rPr>
          <w:rFonts w:ascii="Arial" w:hAnsi="Arial" w:cs="Arial"/>
          <w:sz w:val="18"/>
          <w:szCs w:val="18"/>
        </w:rPr>
        <w:tab/>
        <w:t>Badanie właściwości cieplnych i odporności kruszyw na działanie czynników atmosferycznych – Część 5: Oznaczanie odporności na szok termiczny</w:t>
      </w:r>
    </w:p>
    <w:p w14:paraId="77738457" w14:textId="77777777" w:rsidR="00C32A41" w:rsidRDefault="00B721B3">
      <w:pPr>
        <w:ind w:left="1701" w:hanging="1701"/>
        <w:rPr>
          <w:rFonts w:ascii="Arial" w:hAnsi="Arial" w:cs="Arial"/>
          <w:sz w:val="18"/>
          <w:szCs w:val="18"/>
        </w:rPr>
      </w:pPr>
      <w:r>
        <w:rPr>
          <w:rFonts w:ascii="Arial" w:hAnsi="Arial" w:cs="Arial"/>
          <w:sz w:val="18"/>
          <w:szCs w:val="18"/>
        </w:rPr>
        <w:t>PN-EN 1744-1</w:t>
      </w:r>
      <w:r>
        <w:rPr>
          <w:rFonts w:ascii="Arial" w:hAnsi="Arial" w:cs="Arial"/>
          <w:sz w:val="18"/>
          <w:szCs w:val="18"/>
        </w:rPr>
        <w:tab/>
        <w:t>Badania chemicznych właściwości kruszyw – Analiza chemiczna</w:t>
      </w:r>
    </w:p>
    <w:p w14:paraId="25A8F604" w14:textId="77777777" w:rsidR="00C32A41" w:rsidRDefault="00B721B3">
      <w:pPr>
        <w:ind w:left="1701" w:hanging="1701"/>
        <w:rPr>
          <w:rFonts w:ascii="Arial" w:hAnsi="Arial" w:cs="Arial"/>
          <w:sz w:val="18"/>
          <w:szCs w:val="18"/>
        </w:rPr>
      </w:pPr>
      <w:r>
        <w:rPr>
          <w:rFonts w:ascii="Arial" w:hAnsi="Arial" w:cs="Arial"/>
          <w:sz w:val="18"/>
          <w:szCs w:val="18"/>
        </w:rPr>
        <w:t>PN-EN 1744-4</w:t>
      </w:r>
      <w:r>
        <w:rPr>
          <w:rFonts w:ascii="Arial" w:hAnsi="Arial" w:cs="Arial"/>
          <w:sz w:val="18"/>
          <w:szCs w:val="18"/>
        </w:rPr>
        <w:tab/>
        <w:t>Badania chemicznych właściwości kruszyw – Część 4: Oznaczanie podatności wypełniaczy do mieszanek mineralno-asfaltowych na działanie wody</w:t>
      </w:r>
    </w:p>
    <w:p w14:paraId="5DF2CD6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12272-1 </w:t>
      </w:r>
      <w:r>
        <w:rPr>
          <w:rFonts w:ascii="Arial" w:hAnsi="Arial" w:cs="Arial"/>
          <w:snapToGrid w:val="0"/>
          <w:color w:val="000000"/>
          <w:sz w:val="18"/>
          <w:szCs w:val="18"/>
        </w:rPr>
        <w:tab/>
        <w:t>Powierzchniowe utrwalanie – Metody badań – Część 1: Dozowanie i poprzeczny rozkład lepiszcza i kruszywa</w:t>
      </w:r>
    </w:p>
    <w:p w14:paraId="46BE82A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12591 </w:t>
      </w:r>
      <w:r>
        <w:rPr>
          <w:rFonts w:ascii="Arial" w:hAnsi="Arial" w:cs="Arial"/>
          <w:snapToGrid w:val="0"/>
          <w:color w:val="000000"/>
          <w:sz w:val="18"/>
          <w:szCs w:val="18"/>
        </w:rPr>
        <w:tab/>
        <w:t>Asfalty i produkty asfaltowe – Wymagania dla asfaltów drogowych</w:t>
      </w:r>
    </w:p>
    <w:p w14:paraId="15A6BD7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12597 </w:t>
      </w:r>
      <w:r>
        <w:rPr>
          <w:rFonts w:ascii="Arial" w:hAnsi="Arial" w:cs="Arial"/>
          <w:snapToGrid w:val="0"/>
          <w:color w:val="000000"/>
          <w:sz w:val="18"/>
          <w:szCs w:val="18"/>
        </w:rPr>
        <w:tab/>
        <w:t>Asfalty i produkty asfaltowe – Terminologia</w:t>
      </w:r>
    </w:p>
    <w:p w14:paraId="38BE9F8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 </w:t>
      </w:r>
      <w:r>
        <w:rPr>
          <w:rFonts w:ascii="Arial" w:hAnsi="Arial" w:cs="Arial"/>
          <w:snapToGrid w:val="0"/>
          <w:color w:val="000000"/>
          <w:sz w:val="18"/>
          <w:szCs w:val="18"/>
        </w:rPr>
        <w:tab/>
        <w:t>Mieszanki mineralno-asfaltowe – Metody badań mieszanek mineralno-asfaltowych na gorąco – Część 1: Zawartość lepiszcza rozpuszczalnego</w:t>
      </w:r>
    </w:p>
    <w:p w14:paraId="03FA9AB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 </w:t>
      </w:r>
      <w:r>
        <w:rPr>
          <w:rFonts w:ascii="Arial" w:hAnsi="Arial" w:cs="Arial"/>
          <w:snapToGrid w:val="0"/>
          <w:color w:val="000000"/>
          <w:sz w:val="18"/>
          <w:szCs w:val="18"/>
        </w:rPr>
        <w:tab/>
        <w:t>Mieszanki mineralno-asfaltowe – Metody badań mieszanek mineralno-asfaltowych na gorąco – Część 2: Oznaczanie składu ziarnowego</w:t>
      </w:r>
    </w:p>
    <w:p w14:paraId="400F344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 </w:t>
      </w:r>
      <w:r>
        <w:rPr>
          <w:rFonts w:ascii="Arial" w:hAnsi="Arial" w:cs="Arial"/>
          <w:snapToGrid w:val="0"/>
          <w:color w:val="000000"/>
          <w:sz w:val="18"/>
          <w:szCs w:val="18"/>
        </w:rPr>
        <w:tab/>
        <w:t>Mieszanki mineralno-asfaltowe – Metody badań mieszanek mineralno-asfaltowych na gorąco – Część 3: Odzyskiwanie asfaltu: Wyparka obrotowa</w:t>
      </w:r>
    </w:p>
    <w:p w14:paraId="2256608A"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 </w:t>
      </w:r>
      <w:r>
        <w:rPr>
          <w:rFonts w:ascii="Arial" w:hAnsi="Arial" w:cs="Arial"/>
          <w:snapToGrid w:val="0"/>
          <w:color w:val="000000"/>
          <w:sz w:val="18"/>
          <w:szCs w:val="18"/>
        </w:rPr>
        <w:tab/>
        <w:t>Mieszanki mineralno-asfaltowe – Metody badań mieszanek mineralno-asfaltowych na gorąco – Część 4: Odzyskiwanie asfaltu – Kolumna do destylacji frakcyjnej</w:t>
      </w:r>
    </w:p>
    <w:p w14:paraId="66C25D8E"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12697-5 </w:t>
      </w:r>
      <w:r>
        <w:rPr>
          <w:rFonts w:ascii="Arial" w:hAnsi="Arial" w:cs="Arial"/>
          <w:snapToGrid w:val="0"/>
          <w:color w:val="000000"/>
          <w:sz w:val="18"/>
          <w:szCs w:val="18"/>
        </w:rPr>
        <w:tab/>
        <w:t>Mieszanki mineralno-asfaltowe – Metody badań mieszanek mineralno-asfaltowych na gorąco – Część 5: Oznaczanie gęstości</w:t>
      </w:r>
    </w:p>
    <w:p w14:paraId="498BFF1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12697-6 </w:t>
      </w:r>
      <w:r>
        <w:rPr>
          <w:rFonts w:ascii="Arial" w:hAnsi="Arial" w:cs="Arial"/>
          <w:snapToGrid w:val="0"/>
          <w:color w:val="000000"/>
          <w:sz w:val="18"/>
          <w:szCs w:val="18"/>
        </w:rPr>
        <w:tab/>
        <w:t>Mieszanki mineralno-asfaltowe – Metody badań mieszanek mineralno-asfaltowych na gorąco – Część 6: Oznaczanie gęstości objętościowej metodą hydrostatyczną</w:t>
      </w:r>
    </w:p>
    <w:p w14:paraId="1AC6859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12697-8 </w:t>
      </w:r>
      <w:r>
        <w:rPr>
          <w:rFonts w:ascii="Arial" w:hAnsi="Arial" w:cs="Arial"/>
          <w:snapToGrid w:val="0"/>
          <w:color w:val="000000"/>
          <w:sz w:val="18"/>
          <w:szCs w:val="18"/>
        </w:rPr>
        <w:tab/>
        <w:t>Mieszanki mineralno-asfaltowe – Metody badań mieszanek mineralno-asfaltowych na gorąco – Część 8: Oznaczanie zawartości wolnej przestrzeni</w:t>
      </w:r>
    </w:p>
    <w:p w14:paraId="4CFF3F4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12697-10 </w:t>
      </w:r>
      <w:r>
        <w:rPr>
          <w:rFonts w:ascii="Arial" w:hAnsi="Arial" w:cs="Arial"/>
          <w:snapToGrid w:val="0"/>
          <w:color w:val="000000"/>
          <w:sz w:val="18"/>
          <w:szCs w:val="18"/>
        </w:rPr>
        <w:tab/>
        <w:t>Mieszanki mineralno-asfaltowe – Metody badań mieszanek mineralno-asfaltowych na gorąco – Część 10: Zagęszczalność</w:t>
      </w:r>
    </w:p>
    <w:p w14:paraId="772B6FB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PN-EN 12697-11</w:t>
      </w:r>
      <w:r>
        <w:rPr>
          <w:rFonts w:ascii="Arial" w:hAnsi="Arial" w:cs="Arial"/>
          <w:snapToGrid w:val="0"/>
          <w:color w:val="000000"/>
          <w:sz w:val="18"/>
          <w:szCs w:val="18"/>
        </w:rPr>
        <w:tab/>
        <w:t>Mieszanki mineralno-asfaltowe – Metoda badań mieszanek mineralno-asfaltowych na gorąco – Część 11: Określenie powiązania pomiędzy kruszywem i asfaltem</w:t>
      </w:r>
    </w:p>
    <w:p w14:paraId="5868BE8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12697-12 </w:t>
      </w:r>
      <w:r>
        <w:rPr>
          <w:rFonts w:ascii="Arial" w:hAnsi="Arial" w:cs="Arial"/>
          <w:snapToGrid w:val="0"/>
          <w:color w:val="000000"/>
          <w:sz w:val="18"/>
          <w:szCs w:val="18"/>
        </w:rPr>
        <w:tab/>
        <w:t>Mieszanki mineralno-asfaltowe – Metody badania mieszanek mineralno-asfaltowych na gorąco – Część 12: Określanie wrażliwości na wodę</w:t>
      </w:r>
    </w:p>
    <w:p w14:paraId="45622A2B"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12697-13 </w:t>
      </w:r>
      <w:r>
        <w:rPr>
          <w:rFonts w:ascii="Arial" w:hAnsi="Arial" w:cs="Arial"/>
          <w:snapToGrid w:val="0"/>
          <w:color w:val="000000"/>
          <w:sz w:val="18"/>
          <w:szCs w:val="18"/>
        </w:rPr>
        <w:tab/>
        <w:t>Mieszanki mineralno-asfaltowe – Metody badań mieszanek mineralno-asfaltowych na gorąco – Część 13: Pomiar temperatury</w:t>
      </w:r>
    </w:p>
    <w:p w14:paraId="61F8876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12697-14 </w:t>
      </w:r>
      <w:r>
        <w:rPr>
          <w:rFonts w:ascii="Arial" w:hAnsi="Arial" w:cs="Arial"/>
          <w:snapToGrid w:val="0"/>
          <w:color w:val="000000"/>
          <w:sz w:val="18"/>
          <w:szCs w:val="18"/>
        </w:rPr>
        <w:tab/>
        <w:t>Mieszanki mineralno-asfaltowe – Metody badań mieszanek mineralno-asfaltowych na gorąco – Część 14: Zawartość wody</w:t>
      </w:r>
    </w:p>
    <w:p w14:paraId="166EE4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12697-17 </w:t>
      </w:r>
      <w:r>
        <w:rPr>
          <w:rFonts w:ascii="Arial" w:hAnsi="Arial" w:cs="Arial"/>
          <w:snapToGrid w:val="0"/>
          <w:color w:val="000000"/>
          <w:sz w:val="18"/>
          <w:szCs w:val="18"/>
        </w:rPr>
        <w:tab/>
        <w:t>Mieszanki mineralno-asfaltowe – Metody badań mieszanek mineralno-asfaltowych na gorąco – Część 17: Ubytek ziaren</w:t>
      </w:r>
    </w:p>
    <w:p w14:paraId="372E3B6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12697-18 </w:t>
      </w:r>
      <w:r>
        <w:rPr>
          <w:rFonts w:ascii="Arial" w:hAnsi="Arial" w:cs="Arial"/>
          <w:snapToGrid w:val="0"/>
          <w:color w:val="000000"/>
          <w:sz w:val="18"/>
          <w:szCs w:val="18"/>
        </w:rPr>
        <w:tab/>
        <w:t>Mieszanki mineralno-asfaltowe – Metody badań mieszanek mineralno-asfaltowych na gorąco – Część 18: Spływanie lepiszcza</w:t>
      </w:r>
    </w:p>
    <w:p w14:paraId="03A8CE7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12697-19 </w:t>
      </w:r>
      <w:r>
        <w:rPr>
          <w:rFonts w:ascii="Arial" w:hAnsi="Arial" w:cs="Arial"/>
          <w:snapToGrid w:val="0"/>
          <w:color w:val="000000"/>
          <w:sz w:val="18"/>
          <w:szCs w:val="18"/>
        </w:rPr>
        <w:tab/>
        <w:t>Mieszanki mineralno-asfaltowe – Metody badań mieszanek mineralno-asfaltowych na gorąco – Część 19: Przepuszczalność próbek</w:t>
      </w:r>
    </w:p>
    <w:p w14:paraId="7E06212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12697-20 </w:t>
      </w:r>
      <w:r>
        <w:rPr>
          <w:rFonts w:ascii="Arial" w:hAnsi="Arial" w:cs="Arial"/>
          <w:snapToGrid w:val="0"/>
          <w:color w:val="000000"/>
          <w:sz w:val="18"/>
          <w:szCs w:val="18"/>
        </w:rPr>
        <w:tab/>
        <w:t>Mieszanki mineralno-asfaltowe – Metody badań mieszanek mineralno-asfaltowych na gorąco – Część 20: Penetracja próbek sześciennych lub Marshalla</w:t>
      </w:r>
    </w:p>
    <w:p w14:paraId="4C3267D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12697-22 </w:t>
      </w:r>
      <w:r>
        <w:rPr>
          <w:rFonts w:ascii="Arial" w:hAnsi="Arial" w:cs="Arial"/>
          <w:snapToGrid w:val="0"/>
          <w:color w:val="000000"/>
          <w:sz w:val="18"/>
          <w:szCs w:val="18"/>
        </w:rPr>
        <w:tab/>
        <w:t>Mieszanki mineralno-asfaltowe – Metody badania mieszanek mineralno-asfaltowych na gorąco – Część 22: Koleinowanie</w:t>
      </w:r>
    </w:p>
    <w:p w14:paraId="44C5EC55"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12697-23 </w:t>
      </w:r>
      <w:r>
        <w:rPr>
          <w:rFonts w:ascii="Arial" w:hAnsi="Arial" w:cs="Arial"/>
          <w:snapToGrid w:val="0"/>
          <w:color w:val="000000"/>
          <w:sz w:val="18"/>
          <w:szCs w:val="18"/>
        </w:rPr>
        <w:tab/>
        <w:t>Mieszanki mineralno-asfaltowe – Metody badania mieszanek mineralno-asfaltowych na gorąco – Część 23: Określanie pośredniej wytrzymałości na rozciąganie próbek asfaltowych</w:t>
      </w:r>
    </w:p>
    <w:p w14:paraId="78085B2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12697-24 </w:t>
      </w:r>
      <w:r>
        <w:rPr>
          <w:rFonts w:ascii="Arial" w:hAnsi="Arial" w:cs="Arial"/>
          <w:snapToGrid w:val="0"/>
          <w:color w:val="000000"/>
          <w:sz w:val="18"/>
          <w:szCs w:val="18"/>
        </w:rPr>
        <w:tab/>
        <w:t>Mieszanki mineralno-asfaltowe – Metody badań mieszanek mineralno-asfaltowych na gorąco – Część 24: Odporność na zmęczenie</w:t>
      </w:r>
    </w:p>
    <w:p w14:paraId="739EFFE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12697-26 </w:t>
      </w:r>
      <w:r>
        <w:rPr>
          <w:rFonts w:ascii="Arial" w:hAnsi="Arial" w:cs="Arial"/>
          <w:snapToGrid w:val="0"/>
          <w:color w:val="000000"/>
          <w:sz w:val="18"/>
          <w:szCs w:val="18"/>
        </w:rPr>
        <w:tab/>
        <w:t>Mieszanki mineralno-asfaltowe – Metody badań mieszanek mineralno-asfaltowych na gorąco – Część 26: Sztywność</w:t>
      </w:r>
    </w:p>
    <w:p w14:paraId="35CC15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12697-27 </w:t>
      </w:r>
      <w:r>
        <w:rPr>
          <w:rFonts w:ascii="Arial" w:hAnsi="Arial" w:cs="Arial"/>
          <w:snapToGrid w:val="0"/>
          <w:color w:val="000000"/>
          <w:sz w:val="18"/>
          <w:szCs w:val="18"/>
        </w:rPr>
        <w:tab/>
        <w:t>Mieszanki mineralno-asfaltowe – Metody badań mieszanek mineralno-asfaltowych na gorąco – Część 27: Pobieranie próbek</w:t>
      </w:r>
    </w:p>
    <w:p w14:paraId="7150E00D"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12697-28 </w:t>
      </w:r>
      <w:r>
        <w:rPr>
          <w:rFonts w:ascii="Arial" w:hAnsi="Arial" w:cs="Arial"/>
          <w:snapToGrid w:val="0"/>
          <w:color w:val="000000"/>
          <w:sz w:val="18"/>
          <w:szCs w:val="18"/>
        </w:rPr>
        <w:tab/>
        <w:t>Mieszanki mineralno-asfaltowe – Metody badań mieszanek mineralno-asfaltowych na gorąco – Część 28: Przygotowanie próbek do oznaczania zawartości lepiszcza, zawartości wody i uziarnienia</w:t>
      </w:r>
    </w:p>
    <w:p w14:paraId="46B0396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12697-29 </w:t>
      </w:r>
      <w:r>
        <w:rPr>
          <w:rFonts w:ascii="Arial" w:hAnsi="Arial" w:cs="Arial"/>
          <w:snapToGrid w:val="0"/>
          <w:color w:val="000000"/>
          <w:sz w:val="18"/>
          <w:szCs w:val="18"/>
        </w:rPr>
        <w:tab/>
        <w:t>Mieszanki mineralno-asfaltowe – Metoda badania mieszanek mineralno-asfaltowych na gorąco – Część 29: Pomiar próbki z zagęszczonej mieszanki mineralno-asfaltowej</w:t>
      </w:r>
    </w:p>
    <w:p w14:paraId="7195EC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12697-30 </w:t>
      </w:r>
      <w:r>
        <w:rPr>
          <w:rFonts w:ascii="Arial" w:hAnsi="Arial" w:cs="Arial"/>
          <w:snapToGrid w:val="0"/>
          <w:color w:val="000000"/>
          <w:sz w:val="18"/>
          <w:szCs w:val="18"/>
        </w:rPr>
        <w:tab/>
        <w:t>Mieszanki mineralno-asfaltowe – Metody badań mieszanek mineralno-asfaltowych na gorąco – Część 30: Przygotowanie próbek zagęszczonych przez ubijanie</w:t>
      </w:r>
    </w:p>
    <w:p w14:paraId="1F8C54FC"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12697-33 </w:t>
      </w:r>
      <w:r>
        <w:rPr>
          <w:rFonts w:ascii="Arial" w:hAnsi="Arial" w:cs="Arial"/>
          <w:snapToGrid w:val="0"/>
          <w:color w:val="000000"/>
          <w:sz w:val="18"/>
          <w:szCs w:val="18"/>
        </w:rPr>
        <w:tab/>
        <w:t>Mieszanki mineralno-asfaltowe – Metody badań mieszanek mineralno-asfaltowych na gorąco – Część 33: Przygotowanie próbek zagęszczanych walcem</w:t>
      </w:r>
    </w:p>
    <w:p w14:paraId="65A50104"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12697-34 </w:t>
      </w:r>
      <w:r>
        <w:rPr>
          <w:rFonts w:ascii="Arial" w:hAnsi="Arial" w:cs="Arial"/>
          <w:snapToGrid w:val="0"/>
          <w:color w:val="000000"/>
          <w:sz w:val="18"/>
          <w:szCs w:val="18"/>
        </w:rPr>
        <w:tab/>
        <w:t>Mieszanki mineralno-asfaltowe – Metody badań mieszanek mineralno-asfaltowych na gorąco – Część 34: Badanie Marshalla</w:t>
      </w:r>
    </w:p>
    <w:p w14:paraId="0624DC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12697-35 </w:t>
      </w:r>
      <w:r>
        <w:rPr>
          <w:rFonts w:ascii="Arial" w:hAnsi="Arial" w:cs="Arial"/>
          <w:snapToGrid w:val="0"/>
          <w:color w:val="000000"/>
          <w:sz w:val="18"/>
          <w:szCs w:val="18"/>
        </w:rPr>
        <w:tab/>
        <w:t>Mieszanki mineralno-asfaltowe – Metody badań mieszanek mineralno-asfaltowych na gorąco – Część 35: Mieszanie laboratoryjne</w:t>
      </w:r>
    </w:p>
    <w:p w14:paraId="4F2C29D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12697-36 </w:t>
      </w:r>
      <w:r>
        <w:rPr>
          <w:rFonts w:ascii="Arial" w:hAnsi="Arial" w:cs="Arial"/>
          <w:snapToGrid w:val="0"/>
          <w:color w:val="000000"/>
          <w:sz w:val="18"/>
          <w:szCs w:val="18"/>
        </w:rPr>
        <w:tab/>
        <w:t>Mieszanki mineralno-asfaltowe – Metody badań mieszanek mineralno-asfaltowych na gorąco – Część 36: Oznaczanie grubości nawierzchni asfaltowych</w:t>
      </w:r>
    </w:p>
    <w:p w14:paraId="6C4DE2F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12697-38 </w:t>
      </w:r>
      <w:r>
        <w:rPr>
          <w:rFonts w:ascii="Arial" w:hAnsi="Arial" w:cs="Arial"/>
          <w:snapToGrid w:val="0"/>
          <w:color w:val="000000"/>
          <w:sz w:val="18"/>
          <w:szCs w:val="18"/>
        </w:rPr>
        <w:tab/>
        <w:t>Mieszanki mineralno-asfaltowe – Metody badań mieszanek mineralno-asfaltowych na gorąco – Część 38: Podstawowe wyposażenie i kalibracja</w:t>
      </w:r>
    </w:p>
    <w:p w14:paraId="0307F61F"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12697-39 </w:t>
      </w:r>
      <w:r>
        <w:rPr>
          <w:rFonts w:ascii="Arial" w:hAnsi="Arial" w:cs="Arial"/>
          <w:snapToGrid w:val="0"/>
          <w:color w:val="000000"/>
          <w:sz w:val="18"/>
          <w:szCs w:val="18"/>
        </w:rPr>
        <w:tab/>
        <w:t>Mieszanki mineralno-asfaltowe – Metody badań mieszanek mineralno-asfaltowych na gorąco – Część 39: Oznaczanie zawartości lepiszcza rozpuszczalnego metodą spalania</w:t>
      </w:r>
    </w:p>
    <w:p w14:paraId="6379AA26"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12697-40 </w:t>
      </w:r>
      <w:r>
        <w:rPr>
          <w:rFonts w:ascii="Arial" w:hAnsi="Arial" w:cs="Arial"/>
          <w:snapToGrid w:val="0"/>
          <w:color w:val="000000"/>
          <w:sz w:val="18"/>
          <w:szCs w:val="18"/>
        </w:rPr>
        <w:tab/>
        <w:t>Mieszanki mineralno-asfaltowe – Metody badań mieszanek mineralno-asfaltowych na gorąco – Część 40: Wodoprzepuszczalność "in-situ"</w:t>
      </w:r>
    </w:p>
    <w:p w14:paraId="4D815810"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12697-41 </w:t>
      </w:r>
      <w:r>
        <w:rPr>
          <w:rFonts w:ascii="Arial" w:hAnsi="Arial" w:cs="Arial"/>
          <w:snapToGrid w:val="0"/>
          <w:color w:val="000000"/>
          <w:sz w:val="18"/>
          <w:szCs w:val="18"/>
        </w:rPr>
        <w:tab/>
        <w:t>Mieszanki mineralno-asfaltowe – Metody badań mieszanek mineralno-asfaltowych na gorąco – Część 41: Odporność na płyny przeciwgołoledziowe</w:t>
      </w:r>
    </w:p>
    <w:p w14:paraId="761C29A3"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12697-42 </w:t>
      </w:r>
      <w:r>
        <w:rPr>
          <w:rFonts w:ascii="Arial" w:hAnsi="Arial" w:cs="Arial"/>
          <w:snapToGrid w:val="0"/>
          <w:color w:val="000000"/>
          <w:sz w:val="18"/>
          <w:szCs w:val="18"/>
        </w:rPr>
        <w:tab/>
        <w:t>Mieszanki mineralno-asfaltowe – Metody badań mieszanek mineralno-asfaltowych na gorąco – Część 42: Zawartość zanieczyszczeń w destrukcie asfaltowym</w:t>
      </w:r>
    </w:p>
    <w:p w14:paraId="31764B86" w14:textId="77777777" w:rsidR="00C32A41" w:rsidRDefault="00B721B3">
      <w:pPr>
        <w:ind w:left="1701" w:hanging="1701"/>
        <w:rPr>
          <w:rFonts w:ascii="Arial" w:hAnsi="Arial" w:cs="Arial"/>
          <w:sz w:val="18"/>
          <w:szCs w:val="18"/>
        </w:rPr>
      </w:pPr>
      <w:r>
        <w:rPr>
          <w:rFonts w:ascii="Arial" w:hAnsi="Arial" w:cs="Arial"/>
          <w:sz w:val="18"/>
          <w:szCs w:val="18"/>
        </w:rPr>
        <w:t>PN-EN 13043</w:t>
      </w:r>
      <w:r>
        <w:rPr>
          <w:rFonts w:ascii="Arial" w:hAnsi="Arial" w:cs="Arial"/>
          <w:sz w:val="18"/>
          <w:szCs w:val="18"/>
        </w:rPr>
        <w:tab/>
        <w:t>Kruszywa do mieszanek bitumicznych i powierzchniowych utrwaleń stosowanych na drogach, lotniskach i innych powierzchniach przeznaczonych do ruchu</w:t>
      </w:r>
    </w:p>
    <w:p w14:paraId="223C3085" w14:textId="77777777" w:rsidR="00C32A41" w:rsidRDefault="007C6234">
      <w:pPr>
        <w:tabs>
          <w:tab w:val="left" w:pos="1008"/>
          <w:tab w:val="left" w:pos="7459"/>
        </w:tabs>
        <w:ind w:left="1701" w:hanging="1701"/>
        <w:rPr>
          <w:rFonts w:ascii="Arial" w:hAnsi="Arial" w:cs="Arial"/>
          <w:snapToGrid w:val="0"/>
          <w:color w:val="000000"/>
          <w:sz w:val="18"/>
          <w:szCs w:val="18"/>
        </w:rPr>
      </w:pPr>
      <w:hyperlink r:id="rId8" w:history="1">
        <w:r w:rsidR="00B721B3">
          <w:rPr>
            <w:rFonts w:ascii="Arial" w:hAnsi="Arial" w:cs="Arial"/>
            <w:snapToGrid w:val="0"/>
            <w:color w:val="000000"/>
            <w:sz w:val="18"/>
            <w:szCs w:val="18"/>
          </w:rPr>
          <w:t>PN-EN 13108-</w:t>
        </w:r>
      </w:hyperlink>
      <w:r w:rsidR="00B721B3">
        <w:rPr>
          <w:rFonts w:ascii="Arial" w:hAnsi="Arial" w:cs="Arial"/>
          <w:snapToGrid w:val="0"/>
          <w:color w:val="000000"/>
          <w:sz w:val="18"/>
          <w:szCs w:val="18"/>
        </w:rPr>
        <w:t>5</w:t>
      </w:r>
      <w:r w:rsidR="00B721B3">
        <w:rPr>
          <w:rFonts w:ascii="Arial" w:hAnsi="Arial" w:cs="Arial"/>
          <w:snapToGrid w:val="0"/>
          <w:color w:val="000000"/>
          <w:sz w:val="18"/>
          <w:szCs w:val="18"/>
        </w:rPr>
        <w:tab/>
      </w:r>
      <w:hyperlink r:id="rId9" w:history="1">
        <w:r w:rsidR="00B721B3">
          <w:rPr>
            <w:rFonts w:ascii="Arial" w:hAnsi="Arial" w:cs="Arial"/>
            <w:snapToGrid w:val="0"/>
            <w:color w:val="000000"/>
            <w:sz w:val="18"/>
            <w:szCs w:val="18"/>
          </w:rPr>
          <w:t xml:space="preserve">Mieszanki mineralno-asfaltowe – Wymagania – Część 1: </w:t>
        </w:r>
      </w:hyperlink>
      <w:r w:rsidR="00B721B3">
        <w:rPr>
          <w:rFonts w:ascii="Arial" w:hAnsi="Arial" w:cs="Arial"/>
          <w:snapToGrid w:val="0"/>
          <w:color w:val="000000"/>
          <w:sz w:val="18"/>
          <w:szCs w:val="18"/>
        </w:rPr>
        <w:t>Beton asfaltowy</w:t>
      </w:r>
    </w:p>
    <w:p w14:paraId="7A1E13D0" w14:textId="77777777" w:rsidR="00C32A41" w:rsidRDefault="007C6234">
      <w:pPr>
        <w:tabs>
          <w:tab w:val="left" w:pos="1008"/>
          <w:tab w:val="left" w:pos="7459"/>
        </w:tabs>
        <w:ind w:left="1701" w:hanging="1701"/>
        <w:rPr>
          <w:rFonts w:ascii="Arial" w:hAnsi="Arial" w:cs="Arial"/>
          <w:snapToGrid w:val="0"/>
          <w:color w:val="000000"/>
          <w:sz w:val="18"/>
          <w:szCs w:val="18"/>
        </w:rPr>
      </w:pPr>
      <w:hyperlink r:id="rId10" w:history="1">
        <w:r w:rsidR="00B721B3">
          <w:rPr>
            <w:rFonts w:ascii="Arial" w:hAnsi="Arial" w:cs="Arial"/>
            <w:snapToGrid w:val="0"/>
            <w:color w:val="000000"/>
            <w:sz w:val="18"/>
            <w:szCs w:val="18"/>
          </w:rPr>
          <w:t>PN-EN 13108-20</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1" w:history="1">
        <w:r w:rsidR="00B721B3">
          <w:rPr>
            <w:rFonts w:ascii="Arial" w:hAnsi="Arial" w:cs="Arial"/>
            <w:snapToGrid w:val="0"/>
            <w:color w:val="000000"/>
            <w:sz w:val="18"/>
            <w:szCs w:val="18"/>
          </w:rPr>
          <w:t>Mieszanki mineralno-asfaltowe – Wymagania – Część 20: Badanie typu</w:t>
        </w:r>
      </w:hyperlink>
    </w:p>
    <w:p w14:paraId="6EEB06EC" w14:textId="77777777" w:rsidR="00C32A41" w:rsidRDefault="007C6234">
      <w:pPr>
        <w:tabs>
          <w:tab w:val="left" w:pos="1008"/>
          <w:tab w:val="left" w:pos="7459"/>
        </w:tabs>
        <w:ind w:left="1701" w:hanging="1701"/>
        <w:rPr>
          <w:rFonts w:ascii="Arial" w:hAnsi="Arial" w:cs="Arial"/>
          <w:snapToGrid w:val="0"/>
          <w:color w:val="000000"/>
          <w:sz w:val="18"/>
          <w:szCs w:val="18"/>
        </w:rPr>
      </w:pPr>
      <w:hyperlink r:id="rId12" w:history="1">
        <w:r w:rsidR="00B721B3">
          <w:rPr>
            <w:rFonts w:ascii="Arial" w:hAnsi="Arial" w:cs="Arial"/>
            <w:snapToGrid w:val="0"/>
            <w:color w:val="000000"/>
            <w:sz w:val="18"/>
            <w:szCs w:val="18"/>
          </w:rPr>
          <w:t>PN-EN 13108-21</w:t>
        </w:r>
      </w:hyperlink>
      <w:r w:rsidR="00B721B3">
        <w:rPr>
          <w:rFonts w:ascii="Arial" w:hAnsi="Arial" w:cs="Arial"/>
          <w:snapToGrid w:val="0"/>
          <w:color w:val="000000"/>
          <w:sz w:val="18"/>
          <w:szCs w:val="18"/>
        </w:rPr>
        <w:t xml:space="preserve"> </w:t>
      </w:r>
      <w:r w:rsidR="00B721B3">
        <w:rPr>
          <w:rFonts w:ascii="Arial" w:hAnsi="Arial" w:cs="Arial"/>
          <w:snapToGrid w:val="0"/>
          <w:color w:val="000000"/>
          <w:sz w:val="18"/>
          <w:szCs w:val="18"/>
        </w:rPr>
        <w:tab/>
      </w:r>
      <w:hyperlink r:id="rId13" w:history="1">
        <w:r w:rsidR="00B721B3">
          <w:rPr>
            <w:rFonts w:ascii="Arial" w:hAnsi="Arial" w:cs="Arial"/>
            <w:snapToGrid w:val="0"/>
            <w:color w:val="000000"/>
            <w:sz w:val="18"/>
            <w:szCs w:val="18"/>
          </w:rPr>
          <w:t>Mieszanki mineralno-asfaltowe – Wymagania – Część 21: Zakładowa Kontrola Produkcji</w:t>
        </w:r>
      </w:hyperlink>
    </w:p>
    <w:p w14:paraId="49758F62" w14:textId="77777777" w:rsidR="00C32A41" w:rsidRDefault="00B721B3">
      <w:pPr>
        <w:ind w:left="1701" w:hanging="1701"/>
        <w:rPr>
          <w:rFonts w:ascii="Arial" w:hAnsi="Arial" w:cs="Arial"/>
          <w:sz w:val="18"/>
          <w:szCs w:val="18"/>
        </w:rPr>
      </w:pPr>
      <w:r>
        <w:rPr>
          <w:rFonts w:ascii="Arial" w:hAnsi="Arial" w:cs="Arial"/>
          <w:sz w:val="18"/>
          <w:szCs w:val="18"/>
        </w:rPr>
        <w:t>PN-EN 13179-1</w:t>
      </w:r>
      <w:r>
        <w:rPr>
          <w:rFonts w:ascii="Arial" w:hAnsi="Arial" w:cs="Arial"/>
          <w:sz w:val="18"/>
          <w:szCs w:val="18"/>
        </w:rPr>
        <w:tab/>
        <w:t>Badania kruszyw wypełniających stosowanych do mieszanek bitumicznych – Część 1: Badanie metodą pierścienia delta i kuli</w:t>
      </w:r>
    </w:p>
    <w:p w14:paraId="3E0A81FC" w14:textId="77777777" w:rsidR="00C32A41" w:rsidRDefault="00B721B3">
      <w:pPr>
        <w:ind w:left="1701" w:hanging="1701"/>
        <w:rPr>
          <w:rFonts w:ascii="Arial" w:hAnsi="Arial" w:cs="Arial"/>
          <w:sz w:val="18"/>
          <w:szCs w:val="18"/>
        </w:rPr>
      </w:pPr>
      <w:r>
        <w:rPr>
          <w:rFonts w:ascii="Arial" w:hAnsi="Arial" w:cs="Arial"/>
          <w:sz w:val="18"/>
          <w:szCs w:val="18"/>
        </w:rPr>
        <w:t>PN-EN 13179-2</w:t>
      </w:r>
      <w:r>
        <w:rPr>
          <w:rFonts w:ascii="Arial" w:hAnsi="Arial" w:cs="Arial"/>
          <w:sz w:val="18"/>
          <w:szCs w:val="18"/>
        </w:rPr>
        <w:tab/>
        <w:t>Badania kruszyw wypełniających stosowanych do mieszanek bitumicznych – Część 2: Liczba bitumiczna</w:t>
      </w:r>
    </w:p>
    <w:p w14:paraId="34298327"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lastRenderedPageBreak/>
        <w:t xml:space="preserve">PN-EN 13808 </w:t>
      </w:r>
      <w:r>
        <w:rPr>
          <w:rFonts w:ascii="Arial" w:hAnsi="Arial" w:cs="Arial"/>
          <w:snapToGrid w:val="0"/>
          <w:color w:val="000000"/>
          <w:sz w:val="18"/>
          <w:szCs w:val="18"/>
        </w:rPr>
        <w:tab/>
        <w:t>Zasady klasyfikacji kationowych emulsji asfaltowych</w:t>
      </w:r>
    </w:p>
    <w:p w14:paraId="37994A82"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14188-1 </w:t>
      </w:r>
      <w:r>
        <w:rPr>
          <w:rFonts w:ascii="Arial" w:hAnsi="Arial" w:cs="Arial"/>
          <w:snapToGrid w:val="0"/>
          <w:color w:val="000000"/>
          <w:sz w:val="18"/>
          <w:szCs w:val="18"/>
        </w:rPr>
        <w:tab/>
        <w:t>Wypełniacze złączy i zalewy – Część 1: Specyfikacja zalew na gorąco</w:t>
      </w:r>
    </w:p>
    <w:p w14:paraId="0ECC20D1" w14:textId="77777777" w:rsidR="00C32A41" w:rsidRDefault="00B721B3">
      <w:pPr>
        <w:tabs>
          <w:tab w:val="left" w:pos="1008"/>
          <w:tab w:val="left" w:pos="7459"/>
        </w:tabs>
        <w:ind w:left="1701" w:hanging="1701"/>
        <w:rPr>
          <w:rFonts w:ascii="Arial" w:hAnsi="Arial" w:cs="Arial"/>
          <w:snapToGrid w:val="0"/>
          <w:color w:val="000000"/>
          <w:sz w:val="18"/>
          <w:szCs w:val="18"/>
        </w:rPr>
      </w:pPr>
      <w:r>
        <w:rPr>
          <w:rFonts w:ascii="Arial" w:hAnsi="Arial" w:cs="Arial"/>
          <w:snapToGrid w:val="0"/>
          <w:color w:val="000000"/>
          <w:sz w:val="18"/>
          <w:szCs w:val="18"/>
        </w:rPr>
        <w:t xml:space="preserve">PN-EN 14188-2 </w:t>
      </w:r>
      <w:r>
        <w:rPr>
          <w:rFonts w:ascii="Arial" w:hAnsi="Arial" w:cs="Arial"/>
          <w:snapToGrid w:val="0"/>
          <w:color w:val="000000"/>
          <w:sz w:val="18"/>
          <w:szCs w:val="18"/>
        </w:rPr>
        <w:tab/>
        <w:t>Wypełniacze szczelin i zalewy – Część 2: Specyfikacja zalew na zimno</w:t>
      </w:r>
    </w:p>
    <w:p w14:paraId="48139F42" w14:textId="77777777" w:rsidR="00C32A41" w:rsidRDefault="00B721B3">
      <w:pPr>
        <w:ind w:left="1701" w:hanging="1701"/>
        <w:rPr>
          <w:rFonts w:ascii="Arial" w:hAnsi="Arial" w:cs="Arial"/>
          <w:sz w:val="18"/>
          <w:szCs w:val="18"/>
        </w:rPr>
      </w:pPr>
      <w:r>
        <w:rPr>
          <w:rFonts w:ascii="Arial" w:hAnsi="Arial" w:cs="Arial"/>
          <w:sz w:val="18"/>
          <w:szCs w:val="18"/>
        </w:rPr>
        <w:t>PN-ISO 565</w:t>
      </w:r>
      <w:r>
        <w:rPr>
          <w:rFonts w:ascii="Arial" w:hAnsi="Arial" w:cs="Arial"/>
          <w:sz w:val="18"/>
          <w:szCs w:val="18"/>
        </w:rPr>
        <w:tab/>
        <w:t>Sita kontrolne – Tkanina z drutu, blacha perforowana i blacha cienka perforowana elektrochemicznie – Wymiary nominalne oczek</w:t>
      </w:r>
    </w:p>
    <w:p w14:paraId="33D17CB2" w14:textId="77777777" w:rsidR="00C32A41" w:rsidRDefault="00B721B3">
      <w:pPr>
        <w:tabs>
          <w:tab w:val="left" w:pos="426"/>
        </w:tabs>
        <w:suppressAutoHyphens/>
        <w:ind w:left="1701" w:hanging="1701"/>
        <w:rPr>
          <w:rFonts w:ascii="Arial" w:hAnsi="Arial" w:cs="Arial"/>
          <w:sz w:val="18"/>
          <w:szCs w:val="18"/>
        </w:rPr>
      </w:pPr>
      <w:r>
        <w:rPr>
          <w:rFonts w:ascii="Arial" w:hAnsi="Arial" w:cs="Arial"/>
          <w:sz w:val="18"/>
          <w:szCs w:val="18"/>
        </w:rPr>
        <w:t>BN-68/8931-04</w:t>
      </w:r>
      <w:r>
        <w:rPr>
          <w:rFonts w:ascii="Arial" w:hAnsi="Arial" w:cs="Arial"/>
          <w:sz w:val="18"/>
          <w:szCs w:val="18"/>
        </w:rPr>
        <w:tab/>
        <w:t>Drogi samochodowe. Pomiar równości nawierzchni planografem i łatą.</w:t>
      </w:r>
    </w:p>
    <w:p w14:paraId="06A98AB7" w14:textId="77777777" w:rsidR="00C32A41" w:rsidRDefault="00C32A41">
      <w:pPr>
        <w:tabs>
          <w:tab w:val="left" w:pos="426"/>
        </w:tabs>
        <w:suppressAutoHyphens/>
        <w:rPr>
          <w:rFonts w:ascii="Arial" w:hAnsi="Arial" w:cs="Arial"/>
          <w:b/>
          <w:sz w:val="18"/>
          <w:szCs w:val="18"/>
        </w:rPr>
      </w:pPr>
    </w:p>
    <w:p w14:paraId="313B3DFC" w14:textId="77777777" w:rsidR="00C32A41" w:rsidRDefault="00B721B3">
      <w:pPr>
        <w:tabs>
          <w:tab w:val="left" w:pos="426"/>
        </w:tabs>
        <w:spacing w:after="60"/>
        <w:rPr>
          <w:rFonts w:ascii="Arial" w:hAnsi="Arial" w:cs="Arial"/>
          <w:sz w:val="18"/>
          <w:szCs w:val="18"/>
        </w:rPr>
      </w:pPr>
      <w:r>
        <w:rPr>
          <w:rFonts w:ascii="Arial" w:hAnsi="Arial" w:cs="Arial"/>
          <w:b/>
          <w:sz w:val="18"/>
          <w:szCs w:val="18"/>
        </w:rPr>
        <w:t>10.2. Inne dokumenty</w:t>
      </w:r>
    </w:p>
    <w:p w14:paraId="48C5CC88" w14:textId="77777777" w:rsidR="00C32A41" w:rsidRDefault="00B721B3">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67444B08"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41FF52A4" w14:textId="77777777" w:rsidR="00C32A41" w:rsidRDefault="00B721B3">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7B122428" w14:textId="77777777" w:rsidR="00C32A41" w:rsidRDefault="00B721B3">
      <w:pPr>
        <w:jc w:val="both"/>
        <w:rPr>
          <w:rFonts w:ascii="Arial" w:hAnsi="Arial"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020216C9" w14:textId="77777777" w:rsidR="00C32A41" w:rsidRDefault="00C32A41">
      <w:pPr>
        <w:tabs>
          <w:tab w:val="left" w:pos="426"/>
        </w:tabs>
        <w:suppressAutoHyphens/>
        <w:rPr>
          <w:rFonts w:ascii="Arial" w:hAnsi="Arial" w:cs="Arial"/>
          <w:sz w:val="18"/>
          <w:szCs w:val="18"/>
        </w:rPr>
      </w:pPr>
    </w:p>
    <w:p w14:paraId="2530C110" w14:textId="77777777" w:rsidR="00C32A41" w:rsidRDefault="00C32A41">
      <w:pPr>
        <w:tabs>
          <w:tab w:val="left" w:pos="1008"/>
          <w:tab w:val="left" w:pos="7459"/>
        </w:tabs>
        <w:ind w:left="1701" w:hanging="1701"/>
        <w:rPr>
          <w:rFonts w:ascii="Arial" w:hAnsi="Arial" w:cs="Arial"/>
          <w:snapToGrid w:val="0"/>
          <w:color w:val="000000"/>
          <w:sz w:val="18"/>
          <w:szCs w:val="18"/>
        </w:rPr>
      </w:pPr>
    </w:p>
    <w:p w14:paraId="5A6B4473" w14:textId="77777777" w:rsidR="00C32A41" w:rsidRDefault="00C32A41">
      <w:pPr>
        <w:rPr>
          <w:rFonts w:ascii="Arial" w:hAnsi="Arial" w:cs="Arial"/>
          <w:sz w:val="18"/>
          <w:szCs w:val="18"/>
        </w:rPr>
      </w:pPr>
    </w:p>
    <w:sectPr w:rsidR="00C32A41">
      <w:headerReference w:type="even" r:id="rId14"/>
      <w:headerReference w:type="default" r:id="rId15"/>
      <w:footerReference w:type="even" r:id="rId16"/>
      <w:footerReference w:type="default" r:id="rId17"/>
      <w:pgSz w:w="11907" w:h="16840" w:code="9"/>
      <w:pgMar w:top="1417" w:right="1417" w:bottom="1417" w:left="1417" w:header="422" w:footer="225"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198D" w14:textId="77777777" w:rsidR="007C6234" w:rsidRDefault="007C6234">
      <w:r>
        <w:separator/>
      </w:r>
    </w:p>
  </w:endnote>
  <w:endnote w:type="continuationSeparator" w:id="0">
    <w:p w14:paraId="0333B08B" w14:textId="77777777" w:rsidR="007C6234" w:rsidRDefault="007C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A077" w14:textId="77777777" w:rsidR="00C32A41" w:rsidRDefault="00B721B3">
    <w:pPr>
      <w:pStyle w:val="Stopka"/>
      <w:pBdr>
        <w:top w:val="single" w:sz="4" w:space="1" w:color="auto"/>
      </w:pBdr>
    </w:pPr>
    <w:r>
      <w:rPr>
        <w:sz w:val="12"/>
        <w:szCs w:val="12"/>
      </w:rPr>
      <w:t xml:space="preserve">                                                                                                                                                      </w:t>
    </w:r>
  </w:p>
  <w:p w14:paraId="0112E4E1" w14:textId="77777777" w:rsidR="00C32A41" w:rsidRDefault="00B721B3">
    <w:pPr>
      <w:pStyle w:val="Stopka"/>
      <w:tabs>
        <w:tab w:val="clear" w:pos="4536"/>
        <w:tab w:val="clear" w:pos="9072"/>
        <w:tab w:val="left" w:pos="1146"/>
      </w:tabs>
      <w:rPr>
        <w:rFonts w:ascii="Verdana" w:hAnsi="Verdana"/>
        <w:sz w:val="14"/>
        <w:szCs w:val="14"/>
      </w:rPr>
    </w:pPr>
    <w:r>
      <w:rPr>
        <w:rFonts w:ascii="Verdana" w:hAnsi="Verdana"/>
        <w:sz w:val="14"/>
        <w:szCs w:val="14"/>
      </w:rPr>
      <w:tab/>
    </w:r>
  </w:p>
  <w:p w14:paraId="4CE331BA" w14:textId="77777777" w:rsidR="00C32A41" w:rsidRDefault="00C32A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094105"/>
      <w:docPartObj>
        <w:docPartGallery w:val="Page Numbers (Bottom of Page)"/>
        <w:docPartUnique/>
      </w:docPartObj>
    </w:sdtPr>
    <w:sdtEndPr>
      <w:rPr>
        <w:rFonts w:ascii="Arial" w:hAnsi="Arial" w:cs="Arial"/>
        <w:sz w:val="18"/>
        <w:szCs w:val="18"/>
      </w:rPr>
    </w:sdtEndPr>
    <w:sdtContent>
      <w:sdt>
        <w:sdtPr>
          <w:id w:val="-925109761"/>
          <w:docPartObj>
            <w:docPartGallery w:val="Page Numbers (Bottom of Page)"/>
            <w:docPartUnique/>
          </w:docPartObj>
        </w:sdtPr>
        <w:sdtEndPr/>
        <w:sdtContent>
          <w:sdt>
            <w:sdtPr>
              <w:id w:val="1008329531"/>
              <w:docPartObj>
                <w:docPartGallery w:val="Page Numbers (Top of Page)"/>
                <w:docPartUnique/>
              </w:docPartObj>
            </w:sdtPr>
            <w:sdtEndPr/>
            <w:sdtContent>
              <w:p w14:paraId="3E64D764" w14:textId="3C3B5DC5" w:rsidR="00C32A41" w:rsidRPr="005A7051" w:rsidRDefault="005A7051" w:rsidP="005A7051">
                <w:pPr>
                  <w:pBdr>
                    <w:top w:val="single" w:sz="4" w:space="1" w:color="auto"/>
                  </w:pBdr>
                  <w:jc w:val="both"/>
                  <w:rPr>
                    <w:rFonts w:ascii="Verdana" w:hAnsi="Verdana"/>
                    <w:sz w:val="16"/>
                    <w:szCs w:val="16"/>
                  </w:rPr>
                </w:pPr>
                <w:r>
                  <w:rPr>
                    <w:rFonts w:ascii="Verdana" w:hAnsi="Verdana"/>
                    <w:sz w:val="16"/>
                    <w:szCs w:val="16"/>
                  </w:rPr>
                  <w:t xml:space="preserve">Przebudowa ul. </w:t>
                </w:r>
                <w:r w:rsidR="00F15EB1">
                  <w:rPr>
                    <w:rFonts w:ascii="Verdana" w:hAnsi="Verdana"/>
                    <w:sz w:val="16"/>
                    <w:szCs w:val="16"/>
                  </w:rPr>
                  <w:t>Rej</w:t>
                </w:r>
                <w:r w:rsidR="002C739E">
                  <w:rPr>
                    <w:rFonts w:ascii="Verdana" w:hAnsi="Verdana"/>
                    <w:sz w:val="16"/>
                    <w:szCs w:val="16"/>
                  </w:rPr>
                  <w:t>a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7C5419">
                  <w:rPr>
                    <w:rFonts w:ascii="Verdana" w:hAnsi="Verdana"/>
                    <w:sz w:val="16"/>
                    <w:szCs w:val="16"/>
                  </w:rPr>
                  <w:t>VI</w:t>
                </w:r>
                <w:r w:rsidR="00B721B3">
                  <w:rPr>
                    <w:rFonts w:ascii="Arial" w:hAnsi="Arial" w:cs="Arial"/>
                    <w:sz w:val="18"/>
                    <w:szCs w:val="18"/>
                  </w:rPr>
                  <w:t xml:space="preserve"> - </w:t>
                </w:r>
                <w:sdt>
                  <w:sdtPr>
                    <w:rPr>
                      <w:rFonts w:ascii="Arial" w:hAnsi="Arial" w:cs="Arial"/>
                      <w:sz w:val="18"/>
                      <w:szCs w:val="18"/>
                    </w:rPr>
                    <w:id w:val="-1276326551"/>
                    <w:docPartObj>
                      <w:docPartGallery w:val="Page Numbers (Top of Page)"/>
                      <w:docPartUnique/>
                    </w:docPartObj>
                  </w:sdtPr>
                  <w:sdtEndPr>
                    <w:rPr>
                      <w:rFonts w:ascii="Verdana" w:hAnsi="Verdana" w:cs="Times New Roman"/>
                    </w:rPr>
                  </w:sdtEndPr>
                  <w:sdtContent>
                    <w:r w:rsidR="00B721B3">
                      <w:rPr>
                        <w:rFonts w:ascii="Arial" w:hAnsi="Arial" w:cs="Arial"/>
                        <w:sz w:val="18"/>
                        <w:szCs w:val="18"/>
                      </w:rPr>
                      <w:t xml:space="preserve">Strona </w:t>
                    </w:r>
                    <w:r w:rsidR="00B721B3">
                      <w:rPr>
                        <w:rFonts w:ascii="Arial" w:hAnsi="Arial" w:cs="Arial"/>
                        <w:sz w:val="18"/>
                        <w:szCs w:val="18"/>
                      </w:rPr>
                      <w:fldChar w:fldCharType="begin"/>
                    </w:r>
                    <w:r w:rsidR="00B721B3">
                      <w:rPr>
                        <w:rFonts w:ascii="Arial" w:hAnsi="Arial" w:cs="Arial"/>
                        <w:sz w:val="18"/>
                        <w:szCs w:val="18"/>
                      </w:rPr>
                      <w:instrText>PAGE</w:instrText>
                    </w:r>
                    <w:r w:rsidR="00B721B3">
                      <w:rPr>
                        <w:rFonts w:ascii="Arial" w:hAnsi="Arial" w:cs="Arial"/>
                        <w:sz w:val="18"/>
                        <w:szCs w:val="18"/>
                      </w:rPr>
                      <w:fldChar w:fldCharType="separate"/>
                    </w:r>
                    <w:r w:rsidR="00B721B3">
                      <w:rPr>
                        <w:rFonts w:ascii="Arial" w:hAnsi="Arial" w:cs="Arial"/>
                        <w:noProof/>
                        <w:sz w:val="18"/>
                        <w:szCs w:val="18"/>
                      </w:rPr>
                      <w:t>16</w:t>
                    </w:r>
                    <w:r w:rsidR="00B721B3">
                      <w:rPr>
                        <w:rFonts w:ascii="Arial" w:hAnsi="Arial" w:cs="Arial"/>
                        <w:sz w:val="18"/>
                        <w:szCs w:val="18"/>
                      </w:rPr>
                      <w:fldChar w:fldCharType="end"/>
                    </w:r>
                    <w:r w:rsidR="00B721B3">
                      <w:rPr>
                        <w:rFonts w:ascii="Arial" w:hAnsi="Arial" w:cs="Arial"/>
                        <w:sz w:val="18"/>
                        <w:szCs w:val="18"/>
                      </w:rPr>
                      <w:t xml:space="preserve"> </w:t>
                    </w:r>
                    <w:r w:rsidR="00B721B3">
                      <w:rPr>
                        <w:rFonts w:ascii="Verdana" w:hAnsi="Verdana"/>
                        <w:sz w:val="18"/>
                        <w:szCs w:val="18"/>
                      </w:rPr>
                      <w:t xml:space="preserve">z </w:t>
                    </w:r>
                    <w:r w:rsidR="00B721B3">
                      <w:rPr>
                        <w:rFonts w:ascii="Verdana" w:hAnsi="Verdana"/>
                        <w:sz w:val="18"/>
                        <w:szCs w:val="18"/>
                      </w:rPr>
                      <w:fldChar w:fldCharType="begin"/>
                    </w:r>
                    <w:r w:rsidR="00B721B3">
                      <w:rPr>
                        <w:rFonts w:ascii="Verdana" w:hAnsi="Verdana"/>
                        <w:sz w:val="18"/>
                        <w:szCs w:val="18"/>
                      </w:rPr>
                      <w:instrText>NUMPAGES</w:instrText>
                    </w:r>
                    <w:r w:rsidR="00B721B3">
                      <w:rPr>
                        <w:rFonts w:ascii="Verdana" w:hAnsi="Verdana"/>
                        <w:sz w:val="18"/>
                        <w:szCs w:val="18"/>
                      </w:rPr>
                      <w:fldChar w:fldCharType="separate"/>
                    </w:r>
                    <w:r w:rsidR="00B721B3">
                      <w:rPr>
                        <w:rFonts w:ascii="Verdana" w:hAnsi="Verdana"/>
                        <w:noProof/>
                        <w:sz w:val="18"/>
                        <w:szCs w:val="18"/>
                      </w:rPr>
                      <w:t>16</w:t>
                    </w:r>
                    <w:r w:rsidR="00B721B3">
                      <w:rPr>
                        <w:rFonts w:ascii="Verdana" w:hAnsi="Verdana"/>
                        <w:sz w:val="18"/>
                        <w:szCs w:val="18"/>
                      </w:rPr>
                      <w:fldChar w:fldCharType="end"/>
                    </w:r>
                  </w:sdtContent>
                </w:sdt>
              </w:p>
            </w:sdtContent>
          </w:sdt>
        </w:sdtContent>
      </w:sdt>
      <w:p w14:paraId="3DA7E674" w14:textId="77777777" w:rsidR="00C32A41" w:rsidRDefault="00B721B3">
        <w:pPr>
          <w:autoSpaceDE w:val="0"/>
          <w:adjustRightInd w:val="0"/>
          <w:jc w:val="right"/>
          <w:rPr>
            <w:rFonts w:ascii="Verdana" w:eastAsia="Calibri" w:hAnsi="Verdana"/>
            <w:sz w:val="16"/>
            <w:szCs w:val="16"/>
          </w:rPr>
        </w:pPr>
        <w:r>
          <w:rPr>
            <w:rFonts w:ascii="Verdana" w:hAnsi="Verdana"/>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7C55" w14:textId="77777777" w:rsidR="007C6234" w:rsidRDefault="007C6234">
      <w:r>
        <w:separator/>
      </w:r>
    </w:p>
  </w:footnote>
  <w:footnote w:type="continuationSeparator" w:id="0">
    <w:p w14:paraId="22DFBBE0" w14:textId="77777777" w:rsidR="007C6234" w:rsidRDefault="007C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8FE6" w14:textId="77777777" w:rsidR="00C32A41" w:rsidRDefault="00C32A41">
    <w:pPr>
      <w:pStyle w:val="Nagwek"/>
      <w:framePr w:wrap="around" w:vAnchor="text" w:hAnchor="margin" w:xAlign="outside" w:y="1"/>
      <w:rPr>
        <w:rStyle w:val="Numerstrony"/>
      </w:rPr>
    </w:pPr>
  </w:p>
  <w:p w14:paraId="34F524A0"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8240" behindDoc="0" locked="0" layoutInCell="1" allowOverlap="1" wp14:anchorId="31AEBC98" wp14:editId="1785F1C8">
              <wp:simplePos x="0" y="0"/>
              <wp:positionH relativeFrom="column">
                <wp:posOffset>-31750</wp:posOffset>
              </wp:positionH>
              <wp:positionV relativeFrom="paragraph">
                <wp:posOffset>31114</wp:posOffset>
              </wp:positionV>
              <wp:extent cx="6515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A2CF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45pt" to="51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"/>
          </w:pict>
        </mc:Fallback>
      </mc:AlternateContent>
    </w:r>
  </w:p>
  <w:p w14:paraId="3B8ADF33" w14:textId="77777777" w:rsidR="00C32A41" w:rsidRDefault="00C32A41">
    <w:pPr>
      <w:pStyle w:val="Nagwek"/>
      <w:rPr>
        <w:rFonts w:ascii="Verdana" w:hAnsi="Verdana"/>
        <w:sz w:val="2"/>
        <w:szCs w:val="2"/>
      </w:rPr>
    </w:pPr>
  </w:p>
  <w:p w14:paraId="59A16F88" w14:textId="77777777" w:rsidR="00C32A41" w:rsidRDefault="00C32A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13B3" w14:textId="77777777" w:rsidR="00C32A41" w:rsidRDefault="00B721B3">
    <w:pPr>
      <w:jc w:val="center"/>
      <w:rPr>
        <w:rFonts w:ascii="Verdana" w:hAnsi="Verdana"/>
        <w:bCs/>
        <w:iCs/>
      </w:rPr>
    </w:pPr>
    <w:r>
      <w:rPr>
        <w:rFonts w:ascii="Verdana" w:hAnsi="Verdana"/>
        <w:bCs/>
        <w:i/>
        <w:iCs/>
        <w:sz w:val="11"/>
        <w:szCs w:val="11"/>
      </w:rPr>
      <w:t xml:space="preserve">  </w:t>
    </w:r>
    <w:r>
      <w:rPr>
        <w:rFonts w:ascii="Verdana" w:hAnsi="Verdana"/>
        <w:bCs/>
        <w:iCs/>
      </w:rPr>
      <w:t xml:space="preserve">    </w:t>
    </w:r>
  </w:p>
  <w:p w14:paraId="3AEDA22E" w14:textId="77777777" w:rsidR="00C32A41" w:rsidRDefault="00C32A41">
    <w:pPr>
      <w:jc w:val="right"/>
      <w:rPr>
        <w:rFonts w:ascii="Arial" w:hAnsi="Arial" w:cs="Arial"/>
        <w:sz w:val="14"/>
        <w:szCs w:val="14"/>
      </w:rPr>
    </w:pPr>
  </w:p>
  <w:p w14:paraId="4973849E" w14:textId="77777777" w:rsidR="00C32A41" w:rsidRDefault="00C32A41">
    <w:pPr>
      <w:jc w:val="right"/>
      <w:rPr>
        <w:rFonts w:ascii="Arial" w:hAnsi="Arial" w:cs="Arial"/>
        <w:sz w:val="16"/>
        <w:szCs w:val="16"/>
      </w:rPr>
    </w:pPr>
  </w:p>
  <w:p w14:paraId="6FB38D4B" w14:textId="77777777" w:rsidR="00C32A41" w:rsidRDefault="00B721B3">
    <w:pPr>
      <w:jc w:val="right"/>
      <w:rPr>
        <w:rFonts w:ascii="Arial" w:hAnsi="Arial" w:cs="Arial"/>
        <w:b/>
        <w:sz w:val="16"/>
        <w:szCs w:val="16"/>
      </w:rPr>
    </w:pPr>
    <w:r>
      <w:rPr>
        <w:rFonts w:ascii="Arial" w:hAnsi="Arial" w:cs="Arial"/>
        <w:sz w:val="16"/>
        <w:szCs w:val="16"/>
      </w:rPr>
      <w:t xml:space="preserve">D-05.03.05.b. Nawierzchnia z betonu asfaltowego. Warstwa wiążąca KR1-2 </w:t>
    </w:r>
  </w:p>
  <w:p w14:paraId="564065AA" w14:textId="77777777" w:rsidR="00C32A41" w:rsidRDefault="00B721B3">
    <w:pPr>
      <w:pStyle w:val="Nagwek"/>
      <w:jc w:val="center"/>
      <w:rPr>
        <w:i/>
        <w:sz w:val="16"/>
      </w:rPr>
    </w:pPr>
    <w:r>
      <w:rPr>
        <w:noProof/>
      </w:rPr>
      <mc:AlternateContent>
        <mc:Choice Requires="wps">
          <w:drawing>
            <wp:anchor distT="4294967295" distB="4294967295" distL="114300" distR="114300" simplePos="0" relativeHeight="251657216" behindDoc="0" locked="0" layoutInCell="1" allowOverlap="1" wp14:anchorId="089941FA" wp14:editId="7A84CFC2">
              <wp:simplePos x="0" y="0"/>
              <wp:positionH relativeFrom="column">
                <wp:posOffset>-33020</wp:posOffset>
              </wp:positionH>
              <wp:positionV relativeFrom="paragraph">
                <wp:posOffset>31750</wp:posOffset>
              </wp:positionV>
              <wp:extent cx="58388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FDD6A5"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BjNc4yiwIAAGEFAAAOAAAAAAAAAAAAAAAAAC4CAABkcnMvZTJvRG9jLnhtbFBLAQItABQABgAI&#10;AAAAIQBt52v92wAAAAYBAAAPAAAAAAAAAAAAAAAAAOUEAABkcnMvZG93bnJldi54bWxQSwUGAAAA&#10;AAQABADzAAAA7QUAAAAA&#10;"/>
          </w:pict>
        </mc:Fallback>
      </mc:AlternateContent>
    </w:r>
  </w:p>
  <w:p w14:paraId="7F89087D" w14:textId="77777777" w:rsidR="00C32A41" w:rsidRDefault="00C32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86" style="width:6.75pt;height:2.15pt" coordsize="" o:spt="100" o:bullet="t" adj="0,,0" path="" stroked="f">
        <v:stroke joinstyle="miter"/>
        <v:imagedata r:id="rId1" o:title="image26"/>
        <v:formulas/>
        <v:path o:connecttype="segments"/>
      </v:shape>
    </w:pict>
  </w:numPicBullet>
  <w:numPicBullet w:numPicBulletId="1">
    <w:pict>
      <v:shape id="_x0000_i1087" style="width:6.75pt;height:2.15pt" coordsize="" o:spt="100" o:bullet="t" adj="0,,0" path="" stroked="f">
        <v:stroke joinstyle="miter"/>
        <v:imagedata r:id="rId2" o:title="image27"/>
        <v:formulas/>
        <v:path o:connecttype="segments"/>
      </v:shape>
    </w:pict>
  </w:numPicBullet>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4929F5"/>
    <w:multiLevelType w:val="hybridMultilevel"/>
    <w:tmpl w:val="9F68E42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E9211D"/>
    <w:multiLevelType w:val="hybridMultilevel"/>
    <w:tmpl w:val="386872A8"/>
    <w:lvl w:ilvl="0" w:tplc="2D30D30A">
      <w:start w:val="1"/>
      <w:numFmt w:val="bullet"/>
      <w:lvlText w:val="•"/>
      <w:lvlPicBulletId w:val="0"/>
      <w:lvlJc w:val="left"/>
      <w:pPr>
        <w:ind w:left="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DA44AE">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16FE8E">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08F1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20A80C">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085CFC">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CCF41C">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6A3C94">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0F81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8F45A7"/>
    <w:multiLevelType w:val="hybridMultilevel"/>
    <w:tmpl w:val="8FC4B622"/>
    <w:lvl w:ilvl="0" w:tplc="A714485A">
      <w:start w:val="1"/>
      <w:numFmt w:val="bullet"/>
      <w:lvlText w:val="•"/>
      <w:lvlPicBulletId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9E1C88">
      <w:start w:val="1"/>
      <w:numFmt w:val="bullet"/>
      <w:lvlText w:val="o"/>
      <w:lvlJc w:val="left"/>
      <w:pPr>
        <w:ind w:left="1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148EFC">
      <w:start w:val="1"/>
      <w:numFmt w:val="bullet"/>
      <w:lvlText w:val="▪"/>
      <w:lvlJc w:val="left"/>
      <w:pPr>
        <w:ind w:left="2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090D4">
      <w:start w:val="1"/>
      <w:numFmt w:val="bullet"/>
      <w:lvlText w:val="•"/>
      <w:lvlJc w:val="left"/>
      <w:pPr>
        <w:ind w:left="3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1CD4A4">
      <w:start w:val="1"/>
      <w:numFmt w:val="bullet"/>
      <w:lvlText w:val="o"/>
      <w:lvlJc w:val="left"/>
      <w:pPr>
        <w:ind w:left="3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C4052">
      <w:start w:val="1"/>
      <w:numFmt w:val="bullet"/>
      <w:lvlText w:val="▪"/>
      <w:lvlJc w:val="left"/>
      <w:pPr>
        <w:ind w:left="4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802D4A">
      <w:start w:val="1"/>
      <w:numFmt w:val="bullet"/>
      <w:lvlText w:val="•"/>
      <w:lvlJc w:val="left"/>
      <w:pPr>
        <w:ind w:left="5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E8A3D0">
      <w:start w:val="1"/>
      <w:numFmt w:val="bullet"/>
      <w:lvlText w:val="o"/>
      <w:lvlJc w:val="left"/>
      <w:pPr>
        <w:ind w:left="5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903176">
      <w:start w:val="1"/>
      <w:numFmt w:val="bullet"/>
      <w:lvlText w:val="▪"/>
      <w:lvlJc w:val="left"/>
      <w:pPr>
        <w:ind w:left="6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36336"/>
    <w:multiLevelType w:val="hybridMultilevel"/>
    <w:tmpl w:val="D17873A4"/>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147AB2"/>
    <w:multiLevelType w:val="hybridMultilevel"/>
    <w:tmpl w:val="A8B21DEE"/>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801B4"/>
    <w:multiLevelType w:val="hybridMultilevel"/>
    <w:tmpl w:val="0A0022A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C14406"/>
    <w:multiLevelType w:val="hybridMultilevel"/>
    <w:tmpl w:val="CA38754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A4BE8"/>
    <w:multiLevelType w:val="hybridMultilevel"/>
    <w:tmpl w:val="96B4E502"/>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114BC6"/>
    <w:multiLevelType w:val="hybridMultilevel"/>
    <w:tmpl w:val="55B8FF72"/>
    <w:lvl w:ilvl="0" w:tplc="F2FEA3D6">
      <w:start w:val="1"/>
      <w:numFmt w:val="bullet"/>
      <w:lvlText w:val=""/>
      <w:lvlJc w:val="left"/>
      <w:pPr>
        <w:tabs>
          <w:tab w:val="num" w:pos="360"/>
        </w:tabs>
        <w:ind w:left="360" w:hanging="360"/>
      </w:pPr>
      <w:rPr>
        <w:rFonts w:ascii="Symbol" w:hAnsi="Symbol" w:hint="default"/>
        <w:sz w:val="16"/>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22" w15:restartNumberingAfterBreak="0">
    <w:nsid w:val="3B1134A9"/>
    <w:multiLevelType w:val="hybridMultilevel"/>
    <w:tmpl w:val="FC4A4F4C"/>
    <w:lvl w:ilvl="0" w:tplc="F2FEA3D6">
      <w:start w:val="1"/>
      <w:numFmt w:val="bullet"/>
      <w:lvlText w:val=""/>
      <w:lvlJc w:val="left"/>
      <w:pPr>
        <w:tabs>
          <w:tab w:val="num" w:pos="720"/>
        </w:tabs>
        <w:ind w:left="720" w:hanging="360"/>
      </w:pPr>
      <w:rPr>
        <w:rFonts w:ascii="Symbol" w:hAnsi="Symbol" w:hint="default"/>
        <w:sz w:val="16"/>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41BF0"/>
    <w:multiLevelType w:val="hybridMultilevel"/>
    <w:tmpl w:val="DEAC2D1E"/>
    <w:lvl w:ilvl="0" w:tplc="F2FEA3D6">
      <w:start w:val="1"/>
      <w:numFmt w:val="bullet"/>
      <w:lvlText w:val=""/>
      <w:lvlJc w:val="left"/>
      <w:pPr>
        <w:tabs>
          <w:tab w:val="num" w:pos="720"/>
        </w:tabs>
        <w:ind w:left="720" w:hanging="360"/>
      </w:pPr>
      <w:rPr>
        <w:rFonts w:ascii="Symbol" w:hAnsi="Symbol" w:hint="default"/>
        <w:sz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7353A"/>
    <w:multiLevelType w:val="hybridMultilevel"/>
    <w:tmpl w:val="5426B8D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 w15:restartNumberingAfterBreak="0">
    <w:nsid w:val="46ED250D"/>
    <w:multiLevelType w:val="hybridMultilevel"/>
    <w:tmpl w:val="3B02342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E607B13"/>
    <w:multiLevelType w:val="hybridMultilevel"/>
    <w:tmpl w:val="AA5E7BC8"/>
    <w:lvl w:ilvl="0" w:tplc="F2FEA3D6">
      <w:start w:val="1"/>
      <w:numFmt w:val="bullet"/>
      <w:lvlText w:val=""/>
      <w:lvlJc w:val="left"/>
      <w:pPr>
        <w:ind w:left="1080" w:hanging="360"/>
      </w:pPr>
      <w:rPr>
        <w:rFonts w:ascii="Symbol" w:hAnsi="Symbol" w:hint="default"/>
        <w:sz w:val="16"/>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13326"/>
    <w:multiLevelType w:val="hybridMultilevel"/>
    <w:tmpl w:val="FD0C7B6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0"/>
  </w:num>
  <w:num w:numId="7">
    <w:abstractNumId w:val="14"/>
  </w:num>
  <w:num w:numId="8">
    <w:abstractNumId w:val="33"/>
  </w:num>
  <w:num w:numId="9">
    <w:abstractNumId w:val="29"/>
  </w:num>
  <w:num w:numId="10">
    <w:abstractNumId w:val="23"/>
  </w:num>
  <w:num w:numId="11">
    <w:abstractNumId w:val="32"/>
  </w:num>
  <w:num w:numId="12">
    <w:abstractNumId w:val="7"/>
  </w:num>
  <w:num w:numId="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5"/>
  </w:num>
  <w:num w:numId="18">
    <w:abstractNumId w:val="8"/>
  </w:num>
  <w:num w:numId="19">
    <w:abstractNumId w:val="27"/>
  </w:num>
  <w:num w:numId="20">
    <w:abstractNumId w:val="9"/>
  </w:num>
  <w:num w:numId="21">
    <w:abstractNumId w:val="15"/>
  </w:num>
  <w:num w:numId="22">
    <w:abstractNumId w:val="30"/>
  </w:num>
  <w:num w:numId="23">
    <w:abstractNumId w:val="19"/>
  </w:num>
  <w:num w:numId="24">
    <w:abstractNumId w:val="16"/>
  </w:num>
  <w:num w:numId="25">
    <w:abstractNumId w:val="28"/>
  </w:num>
  <w:num w:numId="26">
    <w:abstractNumId w:val="24"/>
  </w:num>
  <w:num w:numId="27">
    <w:abstractNumId w:val="25"/>
  </w:num>
  <w:num w:numId="28">
    <w:abstractNumId w:val="26"/>
  </w:num>
  <w:num w:numId="29">
    <w:abstractNumId w:val="22"/>
  </w:num>
  <w:num w:numId="30">
    <w:abstractNumId w:val="21"/>
  </w:num>
  <w:num w:numId="31">
    <w:abstractNumId w:val="20"/>
  </w:num>
  <w:num w:numId="32">
    <w:abstractNumId w:val="18"/>
  </w:num>
  <w:num w:numId="33">
    <w:abstractNumId w:val="6"/>
  </w:num>
  <w:num w:numId="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41"/>
    <w:rsid w:val="002C739E"/>
    <w:rsid w:val="00347A3F"/>
    <w:rsid w:val="005A7051"/>
    <w:rsid w:val="007C5419"/>
    <w:rsid w:val="007C6234"/>
    <w:rsid w:val="00B721B3"/>
    <w:rsid w:val="00C32A41"/>
    <w:rsid w:val="00F15EB1"/>
    <w:rsid w:val="00FE77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C1F00"/>
  <w15:docId w15:val="{24DE1CA9-BCE6-4767-985F-1510305C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1">
    <w:name w:val="Plan dokumentu1"/>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436340386">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a=show&amp;m=katalog&amp;id=513185&amp;page=1" TargetMode="External"/><Relationship Id="rId13" Type="http://schemas.openxmlformats.org/officeDocument/2006/relationships/hyperlink" Target="http://www.pkn.pl/?a=show&amp;m=katalog&amp;id=488674&amp;page=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kn.pl/?a=show&amp;m=katalog&amp;id=488674&amp;page=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488673&amp;page=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kn.pl/?a=show&amp;m=katalog&amp;id=488673&amp;page=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kn.pl/?a=show&amp;m=katalog&amp;id=513185&amp;page=1"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2B14-925B-4C0B-B8DE-2D66EE05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7088</Words>
  <Characters>42532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49521</CharactersWithSpaces>
  <SharedDoc>false</SharedDoc>
  <HLinks>
    <vt:vector size="36" baseType="variant">
      <vt:variant>
        <vt:i4>589913</vt:i4>
      </vt:variant>
      <vt:variant>
        <vt:i4>15</vt:i4>
      </vt:variant>
      <vt:variant>
        <vt:i4>0</vt:i4>
      </vt:variant>
      <vt:variant>
        <vt:i4>5</vt:i4>
      </vt:variant>
      <vt:variant>
        <vt:lpwstr>http://www.pkn.pl/?a=show&amp;m=katalog&amp;id=488674&amp;page=1</vt:lpwstr>
      </vt:variant>
      <vt:variant>
        <vt:lpwstr/>
      </vt:variant>
      <vt:variant>
        <vt:i4>589913</vt:i4>
      </vt:variant>
      <vt:variant>
        <vt:i4>12</vt:i4>
      </vt:variant>
      <vt:variant>
        <vt:i4>0</vt:i4>
      </vt:variant>
      <vt:variant>
        <vt:i4>5</vt:i4>
      </vt:variant>
      <vt:variant>
        <vt:lpwstr>http://www.pkn.pl/?a=show&amp;m=katalog&amp;id=488674&amp;page=1</vt:lpwstr>
      </vt:variant>
      <vt:variant>
        <vt:lpwstr/>
      </vt:variant>
      <vt:variant>
        <vt:i4>589918</vt:i4>
      </vt:variant>
      <vt:variant>
        <vt:i4>9</vt:i4>
      </vt:variant>
      <vt:variant>
        <vt:i4>0</vt:i4>
      </vt:variant>
      <vt:variant>
        <vt:i4>5</vt:i4>
      </vt:variant>
      <vt:variant>
        <vt:lpwstr>http://www.pkn.pl/?a=show&amp;m=katalog&amp;id=488673&amp;page=1</vt:lpwstr>
      </vt:variant>
      <vt:variant>
        <vt:lpwstr/>
      </vt:variant>
      <vt:variant>
        <vt:i4>589918</vt:i4>
      </vt:variant>
      <vt:variant>
        <vt:i4>6</vt:i4>
      </vt:variant>
      <vt:variant>
        <vt:i4>0</vt:i4>
      </vt:variant>
      <vt:variant>
        <vt:i4>5</vt:i4>
      </vt:variant>
      <vt:variant>
        <vt:lpwstr>http://www.pkn.pl/?a=show&amp;m=katalog&amp;id=488673&amp;page=1</vt:lpwstr>
      </vt:variant>
      <vt:variant>
        <vt:lpwstr/>
      </vt:variant>
      <vt:variant>
        <vt:i4>786518</vt:i4>
      </vt:variant>
      <vt:variant>
        <vt:i4>3</vt:i4>
      </vt:variant>
      <vt:variant>
        <vt:i4>0</vt:i4>
      </vt:variant>
      <vt:variant>
        <vt:i4>5</vt:i4>
      </vt:variant>
      <vt:variant>
        <vt:lpwstr>http://www.pkn.pl/?a=show&amp;m=katalog&amp;id=513185&amp;page=1</vt:lpwstr>
      </vt:variant>
      <vt:variant>
        <vt:lpwstr/>
      </vt:variant>
      <vt:variant>
        <vt:i4>786518</vt:i4>
      </vt:variant>
      <vt:variant>
        <vt:i4>0</vt:i4>
      </vt:variant>
      <vt:variant>
        <vt:i4>0</vt:i4>
      </vt:variant>
      <vt:variant>
        <vt:i4>5</vt:i4>
      </vt:variant>
      <vt:variant>
        <vt:lpwstr>http://www.pkn.pl/?a=show&amp;m=katalog&amp;id=513185&amp;page=1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2</cp:revision>
  <cp:lastPrinted>2020-11-13T12:11:00Z</cp:lastPrinted>
  <dcterms:created xsi:type="dcterms:W3CDTF">2021-06-29T09:53:00Z</dcterms:created>
  <dcterms:modified xsi:type="dcterms:W3CDTF">2021-06-29T09:53:00Z</dcterms:modified>
</cp:coreProperties>
</file>